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E70FE" w14:textId="623BBFC7" w:rsidR="00A13205" w:rsidRPr="00715A1A" w:rsidRDefault="341AAEC4" w:rsidP="6856CF3A">
      <w:pPr>
        <w:pStyle w:val="ListParagraph"/>
        <w:keepNext/>
        <w:numPr>
          <w:ilvl w:val="0"/>
          <w:numId w:val="10"/>
        </w:numPr>
        <w:ind w:left="357" w:hanging="357"/>
        <w:rPr>
          <w:b/>
          <w:bCs/>
          <w:sz w:val="24"/>
          <w:szCs w:val="24"/>
        </w:rPr>
      </w:pPr>
      <w:r w:rsidRPr="6856CF3A">
        <w:rPr>
          <w:b/>
          <w:bCs/>
          <w:sz w:val="24"/>
          <w:szCs w:val="24"/>
        </w:rPr>
        <w:t>ABOUT THE DATASET</w:t>
      </w:r>
    </w:p>
    <w:p w14:paraId="0CC17267" w14:textId="38FA2039" w:rsidR="00A13205" w:rsidRPr="003558EB" w:rsidRDefault="341AAEC4" w:rsidP="773C6C21">
      <w:pPr>
        <w:rPr>
          <w:b/>
          <w:bCs/>
        </w:rPr>
      </w:pPr>
      <w:r w:rsidRPr="6856CF3A">
        <w:rPr>
          <w:b/>
          <w:bCs/>
        </w:rPr>
        <w:t xml:space="preserve">Title: </w:t>
      </w:r>
      <w:r w:rsidR="38A386CC" w:rsidRPr="6856CF3A">
        <w:rPr>
          <w:b/>
          <w:bCs/>
        </w:rPr>
        <w:t xml:space="preserve">Lerwick Observatory </w:t>
      </w:r>
      <w:r w:rsidR="2CE090DC" w:rsidRPr="6856CF3A">
        <w:rPr>
          <w:b/>
          <w:bCs/>
        </w:rPr>
        <w:t>m</w:t>
      </w:r>
      <w:r w:rsidR="658BFE61" w:rsidRPr="6856CF3A">
        <w:rPr>
          <w:rFonts w:eastAsiaTheme="minorEastAsia"/>
          <w:b/>
          <w:bCs/>
        </w:rPr>
        <w:t xml:space="preserve">onthly </w:t>
      </w:r>
      <w:r w:rsidR="74567CCF" w:rsidRPr="6856CF3A">
        <w:rPr>
          <w:rFonts w:eastAsiaTheme="minorEastAsia"/>
          <w:b/>
          <w:bCs/>
        </w:rPr>
        <w:t>m</w:t>
      </w:r>
      <w:r w:rsidR="658BFE61" w:rsidRPr="6856CF3A">
        <w:rPr>
          <w:rFonts w:eastAsiaTheme="minorEastAsia"/>
          <w:b/>
          <w:bCs/>
        </w:rPr>
        <w:t>ean</w:t>
      </w:r>
      <w:r w:rsidR="15D24DEB" w:rsidRPr="6856CF3A">
        <w:rPr>
          <w:rFonts w:eastAsiaTheme="minorEastAsia"/>
          <w:b/>
          <w:bCs/>
        </w:rPr>
        <w:t xml:space="preserve"> </w:t>
      </w:r>
      <w:r w:rsidR="38A386CC" w:rsidRPr="6856CF3A">
        <w:rPr>
          <w:rFonts w:eastAsiaTheme="minorEastAsia"/>
          <w:b/>
          <w:bCs/>
        </w:rPr>
        <w:t xml:space="preserve">Potential Gradient </w:t>
      </w:r>
      <w:r w:rsidR="51D539B3" w:rsidRPr="6856CF3A">
        <w:rPr>
          <w:rFonts w:eastAsiaTheme="minorEastAsia"/>
          <w:b/>
          <w:bCs/>
        </w:rPr>
        <w:t>by hour of day</w:t>
      </w:r>
      <w:r w:rsidR="38A386CC" w:rsidRPr="6856CF3A">
        <w:rPr>
          <w:rFonts w:eastAsiaTheme="minorEastAsia"/>
          <w:b/>
          <w:bCs/>
        </w:rPr>
        <w:t xml:space="preserve"> </w:t>
      </w:r>
      <w:r w:rsidR="38A386CC" w:rsidRPr="6856CF3A">
        <w:rPr>
          <w:b/>
          <w:bCs/>
        </w:rPr>
        <w:t>19</w:t>
      </w:r>
      <w:r w:rsidR="68315E9D" w:rsidRPr="6856CF3A">
        <w:rPr>
          <w:b/>
          <w:bCs/>
        </w:rPr>
        <w:t>64</w:t>
      </w:r>
      <w:r w:rsidR="38A386CC" w:rsidRPr="6856CF3A">
        <w:rPr>
          <w:b/>
          <w:bCs/>
        </w:rPr>
        <w:t>-198</w:t>
      </w:r>
      <w:r w:rsidR="1768FC16" w:rsidRPr="6856CF3A">
        <w:rPr>
          <w:b/>
          <w:bCs/>
        </w:rPr>
        <w:t>4</w:t>
      </w:r>
    </w:p>
    <w:p w14:paraId="6311C386" w14:textId="744F1C64" w:rsidR="00A13205" w:rsidRPr="007B73AE" w:rsidRDefault="00A13205" w:rsidP="773C6C21">
      <w:r w:rsidRPr="773C6C21">
        <w:rPr>
          <w:b/>
          <w:bCs/>
        </w:rPr>
        <w:t>Creators:</w:t>
      </w:r>
      <w:r>
        <w:t xml:space="preserve"> </w:t>
      </w:r>
      <w:r w:rsidR="68688277">
        <w:t xml:space="preserve">Hripsime Mkrtchyan, </w:t>
      </w:r>
      <w:r>
        <w:t>Giles Harriso</w:t>
      </w:r>
      <w:r w:rsidR="00635EF4">
        <w:t xml:space="preserve">n, </w:t>
      </w:r>
      <w:r w:rsidR="009E0956">
        <w:t>Keri Nicoll</w:t>
      </w:r>
    </w:p>
    <w:p w14:paraId="0779BC98" w14:textId="1B70DAAC" w:rsidR="00A13205" w:rsidRPr="007B73AE" w:rsidRDefault="00A13205" w:rsidP="00945354">
      <w:r>
        <w:t>Department of Meteorology, University of Reading, UK</w:t>
      </w:r>
    </w:p>
    <w:p w14:paraId="6444DAC6" w14:textId="77777777" w:rsidR="00A13205" w:rsidRPr="005824F1" w:rsidRDefault="00A13205" w:rsidP="00A13205">
      <w:r w:rsidRPr="00E87BD9">
        <w:rPr>
          <w:b/>
          <w:bCs/>
        </w:rPr>
        <w:t>Rights-holder(s):</w:t>
      </w:r>
      <w:r w:rsidRPr="005824F1">
        <w:t xml:space="preserve"> University of Reading</w:t>
      </w:r>
    </w:p>
    <w:p w14:paraId="4089C9AD" w14:textId="7A2FC497" w:rsidR="00A13205" w:rsidRPr="00A4245F" w:rsidRDefault="00A13205" w:rsidP="00A13205">
      <w:r w:rsidRPr="773C6C21">
        <w:rPr>
          <w:b/>
          <w:bCs/>
        </w:rPr>
        <w:t>Publication year:</w:t>
      </w:r>
      <w:r>
        <w:t xml:space="preserve"> 202</w:t>
      </w:r>
      <w:r w:rsidR="0555F7D8">
        <w:t>4</w:t>
      </w:r>
    </w:p>
    <w:p w14:paraId="010AD355" w14:textId="6B84F084" w:rsidR="00A13205" w:rsidRDefault="341AAEC4" w:rsidP="6856CF3A">
      <w:pPr>
        <w:jc w:val="both"/>
      </w:pPr>
      <w:r w:rsidRPr="6856CF3A">
        <w:rPr>
          <w:b/>
          <w:bCs/>
        </w:rPr>
        <w:t>Description:</w:t>
      </w:r>
      <w:r w:rsidR="4C3DCDE1">
        <w:t xml:space="preserve"> </w:t>
      </w:r>
      <w:r w:rsidR="3BCF72F3">
        <w:t xml:space="preserve">Atmospheric electricity measurements </w:t>
      </w:r>
      <w:r w:rsidR="172D6C02">
        <w:t xml:space="preserve">from </w:t>
      </w:r>
      <w:r w:rsidR="3BCF72F3">
        <w:t>Lerwick Observatory, Shetland, UK,</w:t>
      </w:r>
      <w:r w:rsidR="2EF7B784">
        <w:t xml:space="preserve"> </w:t>
      </w:r>
      <w:r w:rsidR="3BCF72F3">
        <w:t>provid</w:t>
      </w:r>
      <w:r w:rsidR="2EF7B784">
        <w:t>e</w:t>
      </w:r>
      <w:r w:rsidR="3BCF72F3">
        <w:t xml:space="preserve"> a rare long-term series of hourly Potential Gradient (PG) data</w:t>
      </w:r>
      <w:r w:rsidR="2E7DA84A">
        <w:t xml:space="preserve"> during the twentieth century</w:t>
      </w:r>
      <w:r w:rsidR="3BCF72F3">
        <w:t xml:space="preserve">. </w:t>
      </w:r>
      <w:r w:rsidR="5AD040B5">
        <w:t xml:space="preserve">The Lerwick PG records </w:t>
      </w:r>
      <w:r w:rsidR="2E7DA84A">
        <w:t xml:space="preserve">have </w:t>
      </w:r>
      <w:r w:rsidR="5AD040B5">
        <w:t>contribut</w:t>
      </w:r>
      <w:r w:rsidR="2E7DA84A">
        <w:t>ed</w:t>
      </w:r>
      <w:r w:rsidR="5AD040B5">
        <w:t xml:space="preserve"> to understanding climatological trends in atmospheric electricity. </w:t>
      </w:r>
      <w:r w:rsidR="3BCF72F3">
        <w:t xml:space="preserve">This archive </w:t>
      </w:r>
      <w:r w:rsidR="08CEF5DE">
        <w:t xml:space="preserve">is a subset of the full dataset, and </w:t>
      </w:r>
      <w:r w:rsidR="2EF7B784">
        <w:t xml:space="preserve">provides </w:t>
      </w:r>
      <w:r w:rsidR="3BCF72F3">
        <w:t xml:space="preserve">monthly mean </w:t>
      </w:r>
      <w:r w:rsidR="67D0F304">
        <w:t>P</w:t>
      </w:r>
      <w:r w:rsidR="67D0F304" w:rsidRPr="6856CF3A">
        <w:t xml:space="preserve">G </w:t>
      </w:r>
      <w:r w:rsidR="3BCF72F3" w:rsidRPr="6856CF3A">
        <w:t>values</w:t>
      </w:r>
      <w:r w:rsidR="02599BF8" w:rsidRPr="6856CF3A">
        <w:t xml:space="preserve"> for each hour of day,</w:t>
      </w:r>
      <w:r w:rsidR="3BCF72F3" w:rsidRPr="6856CF3A">
        <w:t xml:space="preserve"> derived from summary sheets between 1964 and 198</w:t>
      </w:r>
      <w:r w:rsidR="3E009F18" w:rsidRPr="6856CF3A">
        <w:t>4</w:t>
      </w:r>
      <w:r w:rsidR="3BCF72F3" w:rsidRPr="6856CF3A">
        <w:t xml:space="preserve">, capturing typical daily and seasonal variations in PG. </w:t>
      </w:r>
    </w:p>
    <w:p w14:paraId="175A236C" w14:textId="7BC924FF" w:rsidR="00A13205" w:rsidRDefault="00A13205" w:rsidP="0034360B">
      <w:pPr>
        <w:rPr>
          <w:color w:val="000000" w:themeColor="text1"/>
        </w:rPr>
      </w:pPr>
      <w:r w:rsidRPr="5068B82A">
        <w:rPr>
          <w:b/>
          <w:bCs/>
        </w:rPr>
        <w:t>Cite as:</w:t>
      </w:r>
      <w:r>
        <w:t xml:space="preserve"> </w:t>
      </w:r>
      <w:r w:rsidR="75C5BD25">
        <w:t xml:space="preserve">Hripsime Mkrtchyan, </w:t>
      </w:r>
      <w:r w:rsidR="00142F25">
        <w:t xml:space="preserve">Giles Harrison, </w:t>
      </w:r>
      <w:r w:rsidR="00DA576F">
        <w:t>Keri Nicoll</w:t>
      </w:r>
      <w:r w:rsidR="00142F25">
        <w:t xml:space="preserve"> </w:t>
      </w:r>
      <w:r w:rsidR="006C299C">
        <w:t>(202</w:t>
      </w:r>
      <w:r w:rsidR="0B31EF16">
        <w:t>4</w:t>
      </w:r>
      <w:r w:rsidR="006C299C">
        <w:t xml:space="preserve">): </w:t>
      </w:r>
      <w:r w:rsidR="31A8CFC4">
        <w:t xml:space="preserve">Lerwick Observatory Monthly </w:t>
      </w:r>
      <w:r w:rsidR="006013CC">
        <w:t>Mean</w:t>
      </w:r>
      <w:r w:rsidR="00234346">
        <w:t xml:space="preserve"> Potential Gradient by hour of day </w:t>
      </w:r>
      <w:r w:rsidR="31A8CFC4">
        <w:t>1964-198</w:t>
      </w:r>
      <w:r w:rsidR="00234346">
        <w:t>4</w:t>
      </w:r>
      <w:r w:rsidR="006C299C">
        <w:t>. University of Reading.</w:t>
      </w:r>
      <w:r w:rsidR="0034360B">
        <w:t xml:space="preserve"> Dataset. </w:t>
      </w:r>
      <w:hyperlink r:id="rId11" w:history="1">
        <w:r w:rsidR="0034360B" w:rsidRPr="0034360B">
          <w:rPr>
            <w:rStyle w:val="Hyperlink"/>
          </w:rPr>
          <w:t>https://doi.org/10.17864/1947.001367</w:t>
        </w:r>
      </w:hyperlink>
    </w:p>
    <w:p w14:paraId="19A7B458" w14:textId="650EF202" w:rsidR="0061327C" w:rsidRDefault="341AAEC4" w:rsidP="6856CF3A">
      <w:pPr>
        <w:rPr>
          <w:color w:val="000000" w:themeColor="text1"/>
        </w:rPr>
      </w:pPr>
      <w:r w:rsidRPr="6856CF3A">
        <w:rPr>
          <w:b/>
          <w:bCs/>
        </w:rPr>
        <w:t>Related publication</w:t>
      </w:r>
      <w:r w:rsidR="38BBF336" w:rsidRPr="6856CF3A">
        <w:rPr>
          <w:b/>
          <w:bCs/>
        </w:rPr>
        <w:t>s</w:t>
      </w:r>
      <w:r w:rsidRPr="6856CF3A">
        <w:rPr>
          <w:b/>
          <w:bCs/>
        </w:rPr>
        <w:t>:</w:t>
      </w:r>
      <w:r w:rsidR="444A50AB" w:rsidRPr="6856CF3A">
        <w:rPr>
          <w:b/>
          <w:bCs/>
        </w:rPr>
        <w:t xml:space="preserve"> </w:t>
      </w:r>
      <w:sdt>
        <w:sdtPr>
          <w:tag w:val="MENDELEY_CITATION_v3_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"/>
          <w:id w:val="-1500582277"/>
          <w:placeholder>
            <w:docPart w:val="DefaultPlaceholder_-1854013440"/>
          </w:placeholder>
        </w:sdtPr>
        <w:sdtContent>
          <w:r w:rsidR="5B177C05" w:rsidRPr="6856CF3A">
            <w:rPr>
              <w:rFonts w:eastAsia="Times New Roman"/>
              <w:color w:val="000000" w:themeColor="text1"/>
            </w:rPr>
            <w:t>Harrison and Riddick (2022)</w:t>
          </w:r>
        </w:sdtContent>
      </w:sdt>
      <w:r w:rsidR="70BFB456">
        <w:t xml:space="preserve">; </w:t>
      </w:r>
      <w:sdt>
        <w:sdtPr>
          <w:tag w:val="MENDELEY_CITATION_v3_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"/>
          <w:id w:val="-1833909768"/>
          <w:placeholder>
            <w:docPart w:val="DefaultPlaceholder_-1854013440"/>
          </w:placeholder>
        </w:sdtPr>
        <w:sdtContent>
          <w:r w:rsidR="5C44B7B5" w:rsidRPr="6856CF3A">
            <w:rPr>
              <w:color w:val="000000" w:themeColor="text1"/>
            </w:rPr>
            <w:t>Harrison (2003); Harrison and Nicoll (2008);</w:t>
          </w:r>
        </w:sdtContent>
      </w:sdt>
    </w:p>
    <w:p w14:paraId="6816FD5A" w14:textId="14D8883A" w:rsidR="6856CF3A" w:rsidRDefault="6856CF3A" w:rsidP="6856CF3A">
      <w:pPr>
        <w:rPr>
          <w:color w:val="000000" w:themeColor="text1"/>
        </w:rPr>
      </w:pPr>
    </w:p>
    <w:p w14:paraId="4250C07F" w14:textId="0DE514C2" w:rsidR="00EA7237" w:rsidRDefault="00EA7237" w:rsidP="00EA7237">
      <w:pPr>
        <w:rPr>
          <w:b/>
          <w:bCs/>
        </w:rPr>
      </w:pPr>
      <w:r w:rsidRPr="00EA7237">
        <w:rPr>
          <w:b/>
          <w:bCs/>
        </w:rPr>
        <w:t>Related data submissions</w:t>
      </w:r>
    </w:p>
    <w:tbl>
      <w:tblPr>
        <w:tblStyle w:val="TableGrid"/>
        <w:tblW w:w="9351" w:type="dxa"/>
        <w:tblLook w:val="04A0" w:firstRow="1" w:lastRow="0" w:firstColumn="1" w:lastColumn="0" w:noHBand="0" w:noVBand="1"/>
      </w:tblPr>
      <w:tblGrid>
        <w:gridCol w:w="6232"/>
        <w:gridCol w:w="3119"/>
      </w:tblGrid>
      <w:tr w:rsidR="00CE01B8" w14:paraId="49823183" w14:textId="77777777" w:rsidTr="6856CF3A">
        <w:tc>
          <w:tcPr>
            <w:tcW w:w="6232" w:type="dxa"/>
          </w:tcPr>
          <w:p w14:paraId="3654F1B9" w14:textId="72A4B804" w:rsidR="00CE01B8" w:rsidRDefault="00CE01B8" w:rsidP="00EA7237">
            <w:pPr>
              <w:rPr>
                <w:b/>
                <w:bCs/>
              </w:rPr>
            </w:pPr>
            <w:r>
              <w:rPr>
                <w:b/>
                <w:bCs/>
              </w:rPr>
              <w:t>Dataset</w:t>
            </w:r>
          </w:p>
        </w:tc>
        <w:tc>
          <w:tcPr>
            <w:tcW w:w="3119" w:type="dxa"/>
          </w:tcPr>
          <w:p w14:paraId="73CA0A8A" w14:textId="6F9B8DB3" w:rsidR="00CE01B8" w:rsidRDefault="00CE01B8" w:rsidP="00EA7237">
            <w:pPr>
              <w:rPr>
                <w:b/>
                <w:bCs/>
              </w:rPr>
            </w:pPr>
            <w:r>
              <w:rPr>
                <w:b/>
                <w:bCs/>
              </w:rPr>
              <w:t>Contents</w:t>
            </w:r>
          </w:p>
        </w:tc>
      </w:tr>
      <w:tr w:rsidR="00CE01B8" w14:paraId="1B8FDAE4" w14:textId="77777777" w:rsidTr="6856CF3A">
        <w:tc>
          <w:tcPr>
            <w:tcW w:w="6232" w:type="dxa"/>
          </w:tcPr>
          <w:p w14:paraId="22B243A3" w14:textId="4399B52F" w:rsidR="00CE01B8" w:rsidRDefault="00CE01B8" w:rsidP="00EA7237">
            <w:pPr>
              <w:rPr>
                <w:b/>
                <w:bCs/>
              </w:rPr>
            </w:pPr>
            <w:r w:rsidRPr="00425EF3">
              <w:rPr>
                <w:rFonts w:cstheme="minorHAnsi"/>
                <w:color w:val="000000"/>
                <w:shd w:val="clear" w:color="auto" w:fill="FFFFFF"/>
              </w:rPr>
              <w:t>Harrison, Giles, Nicoll, Keri and Mkrtchyan, Hripsime (2023): Lerwick Observatory monthly mean Potential Gradient 1925-1984. University of Reading. Dataset. </w:t>
            </w:r>
            <w:hyperlink r:id="rId12" w:tgtFrame="_blank" w:history="1">
              <w:r w:rsidRPr="00425EF3">
                <w:rPr>
                  <w:rStyle w:val="Hyperlink"/>
                  <w:rFonts w:cstheme="minorHAnsi"/>
                  <w:bdr w:val="none" w:sz="0" w:space="0" w:color="auto" w:frame="1"/>
                  <w:shd w:val="clear" w:color="auto" w:fill="FFFFFF"/>
                </w:rPr>
                <w:t>https://doi.org/10.17864/1947.000505</w:t>
              </w:r>
            </w:hyperlink>
          </w:p>
        </w:tc>
        <w:tc>
          <w:tcPr>
            <w:tcW w:w="3119" w:type="dxa"/>
          </w:tcPr>
          <w:p w14:paraId="2BD97DE9" w14:textId="3138DB4D" w:rsidR="00CE01B8" w:rsidRPr="00CE01B8" w:rsidRDefault="00CE01B8" w:rsidP="00EA7237">
            <w:r w:rsidRPr="00CE01B8">
              <w:t>Monthly mean PG values</w:t>
            </w:r>
          </w:p>
        </w:tc>
      </w:tr>
      <w:tr w:rsidR="00CE01B8" w14:paraId="5EBD2DB8" w14:textId="77777777" w:rsidTr="6856CF3A">
        <w:tc>
          <w:tcPr>
            <w:tcW w:w="6232" w:type="dxa"/>
          </w:tcPr>
          <w:p w14:paraId="78CD10D3" w14:textId="28A8FA83" w:rsidR="00CE01B8" w:rsidRDefault="008C5643" w:rsidP="00EA7237">
            <w:pPr>
              <w:rPr>
                <w:b/>
                <w:bCs/>
              </w:rPr>
            </w:pPr>
            <w:r>
              <w:rPr>
                <w:rFonts w:ascii="Calibri" w:hAnsi="Calibri" w:cs="Calibri"/>
                <w:color w:val="000000"/>
                <w:shd w:val="clear" w:color="auto" w:fill="FFFFFF"/>
              </w:rPr>
              <w:t>Harrison, Giles, (2022): Atmospheric electricity data for El Niño-Southern Oscillation studies. University of Reading. Dataset. </w:t>
            </w:r>
            <w:hyperlink r:id="rId13" w:tgtFrame="_blank" w:history="1">
              <w:r>
                <w:rPr>
                  <w:rStyle w:val="Hyperlink"/>
                  <w:rFonts w:ascii="Calibri" w:hAnsi="Calibri" w:cs="Calibri"/>
                  <w:bdr w:val="none" w:sz="0" w:space="0" w:color="auto" w:frame="1"/>
                  <w:shd w:val="clear" w:color="auto" w:fill="FFFFFF"/>
                </w:rPr>
                <w:t>https://doi.org/10.17864/1947.000409</w:t>
              </w:r>
            </w:hyperlink>
            <w:r>
              <w:rPr>
                <w:rFonts w:ascii="Calibri" w:hAnsi="Calibri" w:cs="Calibri"/>
                <w:color w:val="000000"/>
                <w:shd w:val="clear" w:color="auto" w:fill="FFFFFF"/>
              </w:rPr>
              <w:t> </w:t>
            </w:r>
          </w:p>
        </w:tc>
        <w:tc>
          <w:tcPr>
            <w:tcW w:w="3119" w:type="dxa"/>
          </w:tcPr>
          <w:p w14:paraId="6E0B711A" w14:textId="6F12F591" w:rsidR="00CE01B8" w:rsidRPr="00571319" w:rsidRDefault="0019102C" w:rsidP="00EA7237">
            <w:r w:rsidRPr="00571319">
              <w:t xml:space="preserve">Includes </w:t>
            </w:r>
            <w:r w:rsidR="00571319" w:rsidRPr="00571319">
              <w:t xml:space="preserve">daily </w:t>
            </w:r>
            <w:r w:rsidRPr="00571319">
              <w:t>values of Lerwic</w:t>
            </w:r>
            <w:r w:rsidR="00571319" w:rsidRPr="00571319">
              <w:t>k</w:t>
            </w:r>
            <w:r w:rsidRPr="00571319">
              <w:t xml:space="preserve"> PG</w:t>
            </w:r>
            <w:r w:rsidR="00571319" w:rsidRPr="00571319">
              <w:t>, by hour,</w:t>
            </w:r>
            <w:r w:rsidRPr="00571319">
              <w:t xml:space="preserve"> </w:t>
            </w:r>
            <w:r w:rsidRPr="00571319">
              <w:rPr>
                <w:b/>
                <w:bCs/>
              </w:rPr>
              <w:t>for December only</w:t>
            </w:r>
            <w:r w:rsidR="00571319" w:rsidRPr="00571319">
              <w:t xml:space="preserve"> (1927-1954)</w:t>
            </w:r>
          </w:p>
        </w:tc>
      </w:tr>
    </w:tbl>
    <w:p w14:paraId="7F81A256" w14:textId="77777777" w:rsidR="0061327C" w:rsidRDefault="0061327C" w:rsidP="0061327C">
      <w:pPr>
        <w:pStyle w:val="ListParagraph"/>
        <w:rPr>
          <w:b/>
          <w:bCs/>
        </w:rPr>
      </w:pPr>
    </w:p>
    <w:p w14:paraId="45E77535" w14:textId="319A176E" w:rsidR="00A13205" w:rsidRPr="000A7E42" w:rsidRDefault="341AAEC4" w:rsidP="6856CF3A">
      <w:pPr>
        <w:pStyle w:val="ListParagraph"/>
        <w:keepNext/>
        <w:numPr>
          <w:ilvl w:val="0"/>
          <w:numId w:val="10"/>
        </w:numPr>
        <w:ind w:left="357" w:hanging="357"/>
        <w:rPr>
          <w:b/>
          <w:bCs/>
          <w:sz w:val="24"/>
          <w:szCs w:val="24"/>
        </w:rPr>
      </w:pPr>
      <w:r w:rsidRPr="6856CF3A">
        <w:rPr>
          <w:b/>
          <w:bCs/>
          <w:sz w:val="24"/>
          <w:szCs w:val="24"/>
        </w:rPr>
        <w:t>TERMS OF USE</w:t>
      </w:r>
    </w:p>
    <w:p w14:paraId="1979C843" w14:textId="2CAEC59E" w:rsidR="00A13205" w:rsidRDefault="341AAEC4" w:rsidP="6856CF3A">
      <w:pPr>
        <w:rPr>
          <w:sz w:val="28"/>
          <w:szCs w:val="28"/>
        </w:rPr>
      </w:pPr>
      <w:r w:rsidRPr="6856CF3A">
        <w:rPr>
          <w:sz w:val="24"/>
          <w:szCs w:val="24"/>
        </w:rPr>
        <w:t xml:space="preserve">Copyright </w:t>
      </w:r>
      <w:r w:rsidR="0034360B">
        <w:rPr>
          <w:sz w:val="24"/>
          <w:szCs w:val="24"/>
        </w:rPr>
        <w:t>2024</w:t>
      </w:r>
      <w:r w:rsidRPr="6856CF3A">
        <w:rPr>
          <w:sz w:val="24"/>
          <w:szCs w:val="24"/>
        </w:rPr>
        <w:t xml:space="preserve">, University of Reading. This dataset is licensed under a Creative Commons Attribution 4.0 International Licence: </w:t>
      </w:r>
      <w:hyperlink r:id="rId14">
        <w:r w:rsidRPr="6856CF3A">
          <w:rPr>
            <w:rStyle w:val="Hyperlink"/>
            <w:sz w:val="24"/>
            <w:szCs w:val="24"/>
          </w:rPr>
          <w:t>https://creativecommons.org/licenses/by/4.0/</w:t>
        </w:r>
      </w:hyperlink>
      <w:r w:rsidRPr="6856CF3A">
        <w:rPr>
          <w:sz w:val="24"/>
          <w:szCs w:val="24"/>
        </w:rPr>
        <w:t xml:space="preserve">. </w:t>
      </w:r>
    </w:p>
    <w:p w14:paraId="17BC7E01" w14:textId="77777777" w:rsidR="00262EC5" w:rsidRDefault="00262EC5" w:rsidP="00A13205"/>
    <w:p w14:paraId="7004643D" w14:textId="20F2F278" w:rsidR="00A13205" w:rsidRPr="00715A1A" w:rsidRDefault="341AAEC4" w:rsidP="6856CF3A">
      <w:pPr>
        <w:pStyle w:val="ListParagraph"/>
        <w:keepNext/>
        <w:numPr>
          <w:ilvl w:val="0"/>
          <w:numId w:val="10"/>
        </w:numPr>
        <w:ind w:left="357" w:hanging="357"/>
        <w:rPr>
          <w:b/>
          <w:bCs/>
          <w:sz w:val="24"/>
          <w:szCs w:val="24"/>
        </w:rPr>
      </w:pPr>
      <w:r w:rsidRPr="6856CF3A">
        <w:rPr>
          <w:b/>
          <w:bCs/>
          <w:sz w:val="24"/>
          <w:szCs w:val="24"/>
        </w:rPr>
        <w:t>PROJECT AND FUNDING INFORMATION</w:t>
      </w:r>
    </w:p>
    <w:p w14:paraId="1415A756" w14:textId="53BADAE5" w:rsidR="14CF9C20" w:rsidRDefault="24B1A89A" w:rsidP="6856CF3A">
      <w:pPr>
        <w:jc w:val="both"/>
        <w:rPr>
          <w:sz w:val="28"/>
          <w:szCs w:val="28"/>
        </w:rPr>
      </w:pPr>
      <w:r w:rsidRPr="6856CF3A">
        <w:rPr>
          <w:rFonts w:ascii="Calibri" w:eastAsia="Calibri" w:hAnsi="Calibri" w:cs="Calibri"/>
          <w:sz w:val="24"/>
          <w:szCs w:val="24"/>
        </w:rPr>
        <w:t xml:space="preserve">The Lerwick data, which contain </w:t>
      </w:r>
      <w:r w:rsidRPr="6856CF3A">
        <w:rPr>
          <w:sz w:val="24"/>
          <w:szCs w:val="24"/>
        </w:rPr>
        <w:t>atmospheric Potential Gradient (PG) data from Lerwick Observatory, Shetland</w:t>
      </w:r>
      <w:r w:rsidRPr="6856CF3A">
        <w:rPr>
          <w:rFonts w:ascii="Calibri" w:eastAsia="Calibri" w:hAnsi="Calibri" w:cs="Calibri"/>
          <w:sz w:val="24"/>
          <w:szCs w:val="24"/>
        </w:rPr>
        <w:t xml:space="preserve"> was initially collected by the Met Office.</w:t>
      </w:r>
      <w:r w:rsidR="73669A1C" w:rsidRPr="6856CF3A">
        <w:rPr>
          <w:rFonts w:ascii="Calibri" w:eastAsia="Calibri" w:hAnsi="Calibri" w:cs="Calibri"/>
          <w:sz w:val="24"/>
          <w:szCs w:val="24"/>
        </w:rPr>
        <w:t xml:space="preserve"> </w:t>
      </w:r>
      <w:r w:rsidR="73669A1C" w:rsidRPr="6856CF3A">
        <w:rPr>
          <w:sz w:val="24"/>
          <w:szCs w:val="24"/>
        </w:rPr>
        <w:t>The measurements ceased in 1984.</w:t>
      </w:r>
    </w:p>
    <w:p w14:paraId="268B4D9B" w14:textId="10E82825" w:rsidR="001145E0" w:rsidRDefault="341AAEC4" w:rsidP="6856CF3A">
      <w:pPr>
        <w:jc w:val="both"/>
        <w:rPr>
          <w:sz w:val="28"/>
          <w:szCs w:val="28"/>
        </w:rPr>
      </w:pPr>
      <w:r w:rsidRPr="6856CF3A">
        <w:rPr>
          <w:sz w:val="24"/>
          <w:szCs w:val="24"/>
        </w:rPr>
        <w:t>Th</w:t>
      </w:r>
      <w:r w:rsidR="7171AAD2" w:rsidRPr="6856CF3A">
        <w:rPr>
          <w:sz w:val="24"/>
          <w:szCs w:val="24"/>
        </w:rPr>
        <w:t xml:space="preserve">ese data were </w:t>
      </w:r>
      <w:r w:rsidR="5F85AFEF" w:rsidRPr="6856CF3A">
        <w:rPr>
          <w:sz w:val="24"/>
          <w:szCs w:val="24"/>
        </w:rPr>
        <w:t xml:space="preserve">obtained </w:t>
      </w:r>
      <w:r w:rsidR="7171AAD2" w:rsidRPr="6856CF3A">
        <w:rPr>
          <w:sz w:val="24"/>
          <w:szCs w:val="24"/>
        </w:rPr>
        <w:t xml:space="preserve">as part of </w:t>
      </w:r>
      <w:r w:rsidR="2022FB3D" w:rsidRPr="6856CF3A">
        <w:rPr>
          <w:sz w:val="24"/>
          <w:szCs w:val="24"/>
        </w:rPr>
        <w:t>ongoing</w:t>
      </w:r>
      <w:r w:rsidR="7E7FCA49" w:rsidRPr="6856CF3A">
        <w:rPr>
          <w:sz w:val="24"/>
          <w:szCs w:val="24"/>
        </w:rPr>
        <w:t xml:space="preserve"> atmospheric electricity</w:t>
      </w:r>
      <w:r w:rsidR="2022FB3D" w:rsidRPr="6856CF3A">
        <w:rPr>
          <w:sz w:val="24"/>
          <w:szCs w:val="24"/>
        </w:rPr>
        <w:t xml:space="preserve"> research</w:t>
      </w:r>
      <w:r w:rsidR="7AAC674E" w:rsidRPr="6856CF3A">
        <w:rPr>
          <w:sz w:val="24"/>
          <w:szCs w:val="24"/>
        </w:rPr>
        <w:t xml:space="preserve"> by Prof</w:t>
      </w:r>
      <w:r w:rsidR="7E7FCA49" w:rsidRPr="6856CF3A">
        <w:rPr>
          <w:sz w:val="24"/>
          <w:szCs w:val="24"/>
        </w:rPr>
        <w:t> </w:t>
      </w:r>
      <w:r w:rsidR="7AAC674E" w:rsidRPr="6856CF3A">
        <w:rPr>
          <w:sz w:val="24"/>
          <w:szCs w:val="24"/>
        </w:rPr>
        <w:t>Giles</w:t>
      </w:r>
      <w:r w:rsidR="7E7FCA49" w:rsidRPr="6856CF3A">
        <w:rPr>
          <w:sz w:val="24"/>
          <w:szCs w:val="24"/>
        </w:rPr>
        <w:t> </w:t>
      </w:r>
      <w:r w:rsidR="7AAC674E" w:rsidRPr="6856CF3A">
        <w:rPr>
          <w:sz w:val="24"/>
          <w:szCs w:val="24"/>
        </w:rPr>
        <w:t>Harrison</w:t>
      </w:r>
      <w:r w:rsidR="2022FB3D" w:rsidRPr="6856CF3A">
        <w:rPr>
          <w:sz w:val="24"/>
          <w:szCs w:val="24"/>
        </w:rPr>
        <w:t xml:space="preserve"> in the </w:t>
      </w:r>
      <w:r w:rsidR="208B265F" w:rsidRPr="6856CF3A">
        <w:rPr>
          <w:sz w:val="24"/>
          <w:szCs w:val="24"/>
        </w:rPr>
        <w:t>Department of Meteorology</w:t>
      </w:r>
      <w:r w:rsidR="2022FB3D" w:rsidRPr="6856CF3A">
        <w:rPr>
          <w:sz w:val="24"/>
          <w:szCs w:val="24"/>
        </w:rPr>
        <w:t xml:space="preserve">, University of Reading, </w:t>
      </w:r>
      <w:r w:rsidR="208B265F" w:rsidRPr="6856CF3A">
        <w:rPr>
          <w:sz w:val="24"/>
          <w:szCs w:val="24"/>
        </w:rPr>
        <w:t>during the past twenty years</w:t>
      </w:r>
      <w:r w:rsidR="2EF54545" w:rsidRPr="6856CF3A">
        <w:rPr>
          <w:sz w:val="24"/>
          <w:szCs w:val="24"/>
        </w:rPr>
        <w:t xml:space="preserve"> </w:t>
      </w:r>
      <w:r w:rsidR="3CDA4695" w:rsidRPr="6856CF3A">
        <w:rPr>
          <w:sz w:val="24"/>
          <w:szCs w:val="24"/>
        </w:rPr>
        <w:t>without</w:t>
      </w:r>
      <w:r w:rsidR="2343DC6F" w:rsidRPr="6856CF3A">
        <w:rPr>
          <w:sz w:val="24"/>
          <w:szCs w:val="24"/>
        </w:rPr>
        <w:t xml:space="preserve"> external project funding</w:t>
      </w:r>
      <w:r w:rsidR="26EF400E" w:rsidRPr="6856CF3A">
        <w:rPr>
          <w:sz w:val="24"/>
          <w:szCs w:val="24"/>
        </w:rPr>
        <w:t>. T</w:t>
      </w:r>
      <w:r w:rsidR="542A64AA" w:rsidRPr="6856CF3A">
        <w:rPr>
          <w:sz w:val="24"/>
          <w:szCs w:val="24"/>
        </w:rPr>
        <w:t>he data archive is</w:t>
      </w:r>
      <w:r w:rsidR="2DBC5F1D" w:rsidRPr="6856CF3A">
        <w:rPr>
          <w:sz w:val="24"/>
          <w:szCs w:val="24"/>
        </w:rPr>
        <w:t xml:space="preserve"> currently </w:t>
      </w:r>
      <w:r w:rsidR="542A64AA" w:rsidRPr="6856CF3A">
        <w:rPr>
          <w:sz w:val="24"/>
          <w:szCs w:val="24"/>
        </w:rPr>
        <w:t>partially digitised</w:t>
      </w:r>
      <w:r w:rsidR="3BB52C33" w:rsidRPr="6856CF3A">
        <w:rPr>
          <w:sz w:val="24"/>
          <w:szCs w:val="24"/>
        </w:rPr>
        <w:t xml:space="preserve">. </w:t>
      </w:r>
      <w:r w:rsidR="1B9697BF" w:rsidRPr="6856CF3A">
        <w:rPr>
          <w:sz w:val="24"/>
          <w:szCs w:val="24"/>
        </w:rPr>
        <w:t>A</w:t>
      </w:r>
      <w:r w:rsidR="7FCEF877" w:rsidRPr="6856CF3A">
        <w:rPr>
          <w:sz w:val="24"/>
          <w:szCs w:val="24"/>
        </w:rPr>
        <w:t xml:space="preserve"> </w:t>
      </w:r>
      <w:r w:rsidR="542A64AA" w:rsidRPr="6856CF3A">
        <w:rPr>
          <w:sz w:val="24"/>
          <w:szCs w:val="24"/>
        </w:rPr>
        <w:t>C</w:t>
      </w:r>
      <w:r w:rsidR="7FCEF877" w:rsidRPr="6856CF3A">
        <w:rPr>
          <w:sz w:val="24"/>
          <w:szCs w:val="24"/>
        </w:rPr>
        <w:t xml:space="preserve">itizen </w:t>
      </w:r>
      <w:r w:rsidR="542A64AA" w:rsidRPr="6856CF3A">
        <w:rPr>
          <w:sz w:val="24"/>
          <w:szCs w:val="24"/>
        </w:rPr>
        <w:t>S</w:t>
      </w:r>
      <w:r w:rsidR="7FCEF877" w:rsidRPr="6856CF3A">
        <w:rPr>
          <w:sz w:val="24"/>
          <w:szCs w:val="24"/>
        </w:rPr>
        <w:t>cience</w:t>
      </w:r>
      <w:r w:rsidR="1E56A7EE" w:rsidRPr="6856CF3A">
        <w:rPr>
          <w:sz w:val="24"/>
          <w:szCs w:val="24"/>
        </w:rPr>
        <w:t xml:space="preserve"> project on </w:t>
      </w:r>
      <w:r w:rsidR="73BE63F4" w:rsidRPr="6856CF3A">
        <w:rPr>
          <w:sz w:val="24"/>
          <w:szCs w:val="24"/>
        </w:rPr>
        <w:t xml:space="preserve">the </w:t>
      </w:r>
      <w:r w:rsidR="1E56A7EE" w:rsidRPr="6856CF3A">
        <w:rPr>
          <w:sz w:val="24"/>
          <w:szCs w:val="24"/>
        </w:rPr>
        <w:t>Zooniverse platform</w:t>
      </w:r>
      <w:r w:rsidR="7FCEF877" w:rsidRPr="6856CF3A">
        <w:rPr>
          <w:sz w:val="24"/>
          <w:szCs w:val="24"/>
        </w:rPr>
        <w:t xml:space="preserve"> led by Dr</w:t>
      </w:r>
      <w:r w:rsidR="7414283E" w:rsidRPr="6856CF3A">
        <w:rPr>
          <w:sz w:val="24"/>
          <w:szCs w:val="24"/>
        </w:rPr>
        <w:t xml:space="preserve"> Hripsime Mkrtchyan under a </w:t>
      </w:r>
      <w:r w:rsidR="7414283E" w:rsidRPr="6856CF3A">
        <w:rPr>
          <w:sz w:val="24"/>
          <w:szCs w:val="24"/>
        </w:rPr>
        <w:lastRenderedPageBreak/>
        <w:t>Marie Curie Fellowship is</w:t>
      </w:r>
      <w:r w:rsidR="7EF9BF63" w:rsidRPr="6856CF3A">
        <w:rPr>
          <w:sz w:val="24"/>
          <w:szCs w:val="24"/>
        </w:rPr>
        <w:t xml:space="preserve"> </w:t>
      </w:r>
      <w:r w:rsidR="73BE63F4" w:rsidRPr="6856CF3A">
        <w:rPr>
          <w:sz w:val="24"/>
          <w:szCs w:val="24"/>
        </w:rPr>
        <w:t>progressing</w:t>
      </w:r>
      <w:r w:rsidR="49E7FD7F" w:rsidRPr="6856CF3A">
        <w:rPr>
          <w:sz w:val="24"/>
          <w:szCs w:val="24"/>
        </w:rPr>
        <w:t xml:space="preserve"> to complete</w:t>
      </w:r>
      <w:r w:rsidR="73BE63F4" w:rsidRPr="6856CF3A">
        <w:rPr>
          <w:sz w:val="24"/>
          <w:szCs w:val="24"/>
        </w:rPr>
        <w:t xml:space="preserve"> the full digitisation of the </w:t>
      </w:r>
      <w:r w:rsidR="56CF8915" w:rsidRPr="6856CF3A">
        <w:rPr>
          <w:sz w:val="24"/>
          <w:szCs w:val="24"/>
        </w:rPr>
        <w:t xml:space="preserve">Lerwick </w:t>
      </w:r>
      <w:r w:rsidR="542A64AA" w:rsidRPr="6856CF3A">
        <w:rPr>
          <w:sz w:val="24"/>
          <w:szCs w:val="24"/>
        </w:rPr>
        <w:t>dataset</w:t>
      </w:r>
      <w:r w:rsidR="73BE63F4" w:rsidRPr="6856CF3A">
        <w:rPr>
          <w:sz w:val="24"/>
          <w:szCs w:val="24"/>
        </w:rPr>
        <w:t xml:space="preserve">, </w:t>
      </w:r>
      <w:r w:rsidR="62FFEC03" w:rsidRPr="6856CF3A">
        <w:rPr>
          <w:sz w:val="24"/>
          <w:szCs w:val="24"/>
        </w:rPr>
        <w:t xml:space="preserve">which will </w:t>
      </w:r>
      <w:r w:rsidR="73BE63F4" w:rsidRPr="6856CF3A">
        <w:rPr>
          <w:sz w:val="24"/>
          <w:szCs w:val="24"/>
        </w:rPr>
        <w:t xml:space="preserve">provide </w:t>
      </w:r>
      <w:r w:rsidR="579A3F40" w:rsidRPr="6856CF3A">
        <w:rPr>
          <w:sz w:val="24"/>
          <w:szCs w:val="24"/>
        </w:rPr>
        <w:t xml:space="preserve">the </w:t>
      </w:r>
      <w:r w:rsidR="73BE63F4" w:rsidRPr="6856CF3A">
        <w:rPr>
          <w:sz w:val="24"/>
          <w:szCs w:val="24"/>
        </w:rPr>
        <w:t>individual hourly values</w:t>
      </w:r>
      <w:r w:rsidR="786EAE77" w:rsidRPr="6856CF3A">
        <w:rPr>
          <w:sz w:val="24"/>
          <w:szCs w:val="24"/>
        </w:rPr>
        <w:t xml:space="preserve"> on each day of recording.</w:t>
      </w:r>
    </w:p>
    <w:p w14:paraId="3046F86B" w14:textId="0446706F" w:rsidR="00733219" w:rsidRPr="003C5BA8" w:rsidRDefault="538CF63C" w:rsidP="6856CF3A">
      <w:pPr>
        <w:widowControl w:val="0"/>
        <w:autoSpaceDE w:val="0"/>
        <w:autoSpaceDN w:val="0"/>
        <w:adjustRightInd w:val="0"/>
        <w:spacing w:line="240" w:lineRule="auto"/>
        <w:jc w:val="both"/>
        <w:rPr>
          <w:color w:val="FF0000"/>
          <w:sz w:val="24"/>
          <w:szCs w:val="24"/>
        </w:rPr>
      </w:pPr>
      <w:r w:rsidRPr="6856CF3A">
        <w:rPr>
          <w:sz w:val="24"/>
          <w:szCs w:val="24"/>
        </w:rPr>
        <w:t xml:space="preserve">The </w:t>
      </w:r>
      <w:r w:rsidR="0C10C639" w:rsidRPr="6856CF3A">
        <w:rPr>
          <w:sz w:val="24"/>
          <w:szCs w:val="24"/>
        </w:rPr>
        <w:t>r</w:t>
      </w:r>
      <w:r w:rsidRPr="6856CF3A">
        <w:rPr>
          <w:sz w:val="24"/>
          <w:szCs w:val="24"/>
        </w:rPr>
        <w:t>ecord</w:t>
      </w:r>
      <w:r w:rsidR="44A21F19" w:rsidRPr="6856CF3A">
        <w:rPr>
          <w:sz w:val="24"/>
          <w:szCs w:val="24"/>
        </w:rPr>
        <w:t>s</w:t>
      </w:r>
      <w:r w:rsidRPr="6856CF3A">
        <w:rPr>
          <w:sz w:val="24"/>
          <w:szCs w:val="24"/>
        </w:rPr>
        <w:t xml:space="preserve"> were </w:t>
      </w:r>
      <w:r w:rsidR="73BE63F4" w:rsidRPr="6856CF3A">
        <w:rPr>
          <w:sz w:val="24"/>
          <w:szCs w:val="24"/>
        </w:rPr>
        <w:t xml:space="preserve">originally </w:t>
      </w:r>
      <w:r w:rsidRPr="6856CF3A">
        <w:rPr>
          <w:sz w:val="24"/>
          <w:szCs w:val="24"/>
        </w:rPr>
        <w:t xml:space="preserve">published annually by the Met Office in </w:t>
      </w:r>
      <w:r w:rsidRPr="6856CF3A">
        <w:rPr>
          <w:i/>
          <w:iCs/>
          <w:sz w:val="24"/>
          <w:szCs w:val="24"/>
        </w:rPr>
        <w:t xml:space="preserve">The Observatories’ </w:t>
      </w:r>
      <w:r w:rsidR="420B8A28" w:rsidRPr="6856CF3A">
        <w:rPr>
          <w:i/>
          <w:iCs/>
          <w:sz w:val="24"/>
          <w:szCs w:val="24"/>
        </w:rPr>
        <w:t>Yearbook</w:t>
      </w:r>
      <w:r w:rsidRPr="6856CF3A">
        <w:rPr>
          <w:sz w:val="24"/>
          <w:szCs w:val="24"/>
        </w:rPr>
        <w:t xml:space="preserve"> (OYB)</w:t>
      </w:r>
      <w:r w:rsidR="22C0F981" w:rsidRPr="6856CF3A">
        <w:rPr>
          <w:sz w:val="24"/>
          <w:szCs w:val="24"/>
        </w:rPr>
        <w:t xml:space="preserve">, and subsequently recorded on unpublished </w:t>
      </w:r>
      <w:r w:rsidR="59628032" w:rsidRPr="6856CF3A">
        <w:rPr>
          <w:sz w:val="24"/>
          <w:szCs w:val="24"/>
        </w:rPr>
        <w:t>observatory summary sheets</w:t>
      </w:r>
      <w:r w:rsidR="176E2EC5" w:rsidRPr="6856CF3A">
        <w:rPr>
          <w:sz w:val="24"/>
          <w:szCs w:val="24"/>
        </w:rPr>
        <w:t>, described</w:t>
      </w:r>
      <w:r w:rsidR="59628032" w:rsidRPr="6856CF3A">
        <w:rPr>
          <w:sz w:val="24"/>
          <w:szCs w:val="24"/>
        </w:rPr>
        <w:t xml:space="preserve"> </w:t>
      </w:r>
      <w:r w:rsidR="6DBC892A" w:rsidRPr="6856CF3A">
        <w:rPr>
          <w:sz w:val="24"/>
          <w:szCs w:val="24"/>
        </w:rPr>
        <w:t>in Harrison et al (2023)</w:t>
      </w:r>
      <w:r w:rsidR="3E0AED68" w:rsidRPr="6856CF3A">
        <w:rPr>
          <w:sz w:val="24"/>
          <w:szCs w:val="24"/>
        </w:rPr>
        <w:t xml:space="preserve">. </w:t>
      </w:r>
      <w:r w:rsidR="2AC6B514" w:rsidRPr="6856CF3A">
        <w:rPr>
          <w:sz w:val="24"/>
          <w:szCs w:val="24"/>
        </w:rPr>
        <w:t xml:space="preserve">To ensure long-term preservation, the Hadley Centre of the Met Office scanned these summary sheets in 2003 under the supervision of Prof. Harrison. This scanning process created images solely </w:t>
      </w:r>
      <w:r w:rsidR="24142713" w:rsidRPr="6856CF3A">
        <w:rPr>
          <w:sz w:val="24"/>
          <w:szCs w:val="24"/>
        </w:rPr>
        <w:t>to ensure</w:t>
      </w:r>
      <w:r w:rsidR="2AC6B514" w:rsidRPr="6856CF3A">
        <w:rPr>
          <w:sz w:val="24"/>
          <w:szCs w:val="24"/>
        </w:rPr>
        <w:t xml:space="preserve"> preservation, and the data values were not transcribed</w:t>
      </w:r>
      <w:r w:rsidR="176E2EC5" w:rsidRPr="6856CF3A">
        <w:rPr>
          <w:sz w:val="24"/>
          <w:szCs w:val="24"/>
        </w:rPr>
        <w:t xml:space="preserve"> into computer-usable form</w:t>
      </w:r>
      <w:r w:rsidR="2AC6B514" w:rsidRPr="6856CF3A">
        <w:rPr>
          <w:sz w:val="24"/>
          <w:szCs w:val="24"/>
        </w:rPr>
        <w:t>.</w:t>
      </w:r>
      <w:r w:rsidR="59628032" w:rsidRPr="6856CF3A">
        <w:rPr>
          <w:sz w:val="24"/>
          <w:szCs w:val="24"/>
        </w:rPr>
        <w:t xml:space="preserve"> </w:t>
      </w:r>
    </w:p>
    <w:p w14:paraId="66837B0E" w14:textId="35092E3B" w:rsidR="00733219" w:rsidRDefault="6CD0EFA0" w:rsidP="6856CF3A">
      <w:pPr>
        <w:widowControl w:val="0"/>
        <w:spacing w:line="240" w:lineRule="auto"/>
        <w:jc w:val="both"/>
        <w:rPr>
          <w:sz w:val="28"/>
          <w:szCs w:val="28"/>
        </w:rPr>
      </w:pPr>
      <w:r w:rsidRPr="6856CF3A">
        <w:rPr>
          <w:sz w:val="24"/>
          <w:szCs w:val="24"/>
        </w:rPr>
        <w:t>N</w:t>
      </w:r>
      <w:r w:rsidR="57AAD043" w:rsidRPr="6856CF3A">
        <w:rPr>
          <w:sz w:val="24"/>
          <w:szCs w:val="24"/>
        </w:rPr>
        <w:t xml:space="preserve">ewly digitized monthly </w:t>
      </w:r>
      <w:r w:rsidR="01CFEA9B" w:rsidRPr="6856CF3A">
        <w:rPr>
          <w:sz w:val="24"/>
          <w:szCs w:val="24"/>
        </w:rPr>
        <w:t>h</w:t>
      </w:r>
      <w:r w:rsidR="57AAD043" w:rsidRPr="6856CF3A">
        <w:rPr>
          <w:sz w:val="24"/>
          <w:szCs w:val="24"/>
        </w:rPr>
        <w:t xml:space="preserve">ourly </w:t>
      </w:r>
      <w:r w:rsidR="1BF24196" w:rsidRPr="6856CF3A">
        <w:rPr>
          <w:sz w:val="24"/>
          <w:szCs w:val="24"/>
        </w:rPr>
        <w:t>m</w:t>
      </w:r>
      <w:r w:rsidR="57AAD043" w:rsidRPr="6856CF3A">
        <w:rPr>
          <w:sz w:val="24"/>
          <w:szCs w:val="24"/>
        </w:rPr>
        <w:t>ean dataset</w:t>
      </w:r>
      <w:r w:rsidR="74412CC2" w:rsidRPr="6856CF3A">
        <w:rPr>
          <w:sz w:val="24"/>
          <w:szCs w:val="24"/>
        </w:rPr>
        <w:t xml:space="preserve"> from 1964-198</w:t>
      </w:r>
      <w:r w:rsidR="18FF0BCF" w:rsidRPr="6856CF3A">
        <w:rPr>
          <w:sz w:val="24"/>
          <w:szCs w:val="24"/>
        </w:rPr>
        <w:t>4</w:t>
      </w:r>
      <w:r w:rsidR="57AAD043" w:rsidRPr="6856CF3A">
        <w:rPr>
          <w:sz w:val="24"/>
          <w:szCs w:val="24"/>
        </w:rPr>
        <w:t xml:space="preserve"> </w:t>
      </w:r>
      <w:r w:rsidR="176E2EC5" w:rsidRPr="6856CF3A">
        <w:rPr>
          <w:sz w:val="24"/>
          <w:szCs w:val="24"/>
        </w:rPr>
        <w:t xml:space="preserve">have been </w:t>
      </w:r>
      <w:r w:rsidR="57AAD043" w:rsidRPr="6856CF3A">
        <w:rPr>
          <w:sz w:val="24"/>
          <w:szCs w:val="24"/>
        </w:rPr>
        <w:t>created with the assistance of Armenian students under the supervision of Dr Hrip</w:t>
      </w:r>
      <w:r w:rsidR="1DF050B0" w:rsidRPr="6856CF3A">
        <w:rPr>
          <w:sz w:val="24"/>
          <w:szCs w:val="24"/>
        </w:rPr>
        <w:t>sime Mkrtchyan</w:t>
      </w:r>
      <w:r w:rsidR="57AAD043" w:rsidRPr="6856CF3A">
        <w:rPr>
          <w:sz w:val="24"/>
          <w:szCs w:val="24"/>
        </w:rPr>
        <w:t>, completing the digitization process within a few months</w:t>
      </w:r>
      <w:r w:rsidR="286F751D" w:rsidRPr="6856CF3A">
        <w:rPr>
          <w:sz w:val="24"/>
          <w:szCs w:val="24"/>
        </w:rPr>
        <w:t xml:space="preserve"> in 2023</w:t>
      </w:r>
      <w:r w:rsidR="57AAD043" w:rsidRPr="6856CF3A">
        <w:rPr>
          <w:sz w:val="24"/>
          <w:szCs w:val="24"/>
        </w:rPr>
        <w:t xml:space="preserve">. </w:t>
      </w:r>
      <w:r w:rsidR="1B5D4BBF" w:rsidRPr="6856CF3A">
        <w:rPr>
          <w:sz w:val="24"/>
          <w:szCs w:val="24"/>
        </w:rPr>
        <w:t xml:space="preserve">In </w:t>
      </w:r>
      <w:r w:rsidR="57AAD043" w:rsidRPr="6856CF3A">
        <w:rPr>
          <w:sz w:val="24"/>
          <w:szCs w:val="24"/>
        </w:rPr>
        <w:t>this effort, data values were carefully keyed in, with checks applied to identify</w:t>
      </w:r>
      <w:r w:rsidR="438BA7F9" w:rsidRPr="6856CF3A">
        <w:rPr>
          <w:sz w:val="24"/>
          <w:szCs w:val="24"/>
        </w:rPr>
        <w:t xml:space="preserve"> </w:t>
      </w:r>
      <w:r w:rsidR="57AAD043" w:rsidRPr="6856CF3A">
        <w:rPr>
          <w:sz w:val="24"/>
          <w:szCs w:val="24"/>
        </w:rPr>
        <w:t>and correct any discrepancies. In cases where discrepancies remained after verification, the values as originally published in the OYB were retained for consistency in the data submission.</w:t>
      </w:r>
    </w:p>
    <w:p w14:paraId="72C36E83" w14:textId="77777777" w:rsidR="000713A3" w:rsidRDefault="000713A3" w:rsidP="00A13205"/>
    <w:p w14:paraId="67D1CC5E" w14:textId="3BA60E3A" w:rsidR="00A13205" w:rsidRPr="00715A1A" w:rsidRDefault="341AAEC4" w:rsidP="6856CF3A">
      <w:pPr>
        <w:pStyle w:val="ListParagraph"/>
        <w:keepNext/>
        <w:numPr>
          <w:ilvl w:val="0"/>
          <w:numId w:val="10"/>
        </w:numPr>
        <w:ind w:left="357" w:hanging="357"/>
        <w:rPr>
          <w:b/>
          <w:bCs/>
          <w:sz w:val="24"/>
          <w:szCs w:val="24"/>
        </w:rPr>
      </w:pPr>
      <w:r w:rsidRPr="6856CF3A">
        <w:rPr>
          <w:b/>
          <w:bCs/>
          <w:sz w:val="24"/>
          <w:szCs w:val="24"/>
        </w:rPr>
        <w:t>CONTENTS</w:t>
      </w:r>
    </w:p>
    <w:p w14:paraId="0A793CB2" w14:textId="728FEA24" w:rsidR="006270D5" w:rsidRDefault="4EF2526B" w:rsidP="6856CF3A">
      <w:pPr>
        <w:widowControl w:val="0"/>
        <w:autoSpaceDE w:val="0"/>
        <w:autoSpaceDN w:val="0"/>
        <w:adjustRightInd w:val="0"/>
        <w:spacing w:line="240" w:lineRule="auto"/>
        <w:jc w:val="both"/>
        <w:rPr>
          <w:sz w:val="28"/>
          <w:szCs w:val="28"/>
        </w:rPr>
      </w:pPr>
      <w:r w:rsidRPr="6856CF3A">
        <w:rPr>
          <w:sz w:val="24"/>
          <w:szCs w:val="24"/>
        </w:rPr>
        <w:t>This data submission contains observations of the Potential Gradient (PG) as the Mean Diurnal Cycle for each month, recorded under fair weather and non-hydrometeor conditions</w:t>
      </w:r>
      <w:r w:rsidR="657836F7" w:rsidRPr="6856CF3A">
        <w:rPr>
          <w:sz w:val="24"/>
          <w:szCs w:val="24"/>
        </w:rPr>
        <w:t>.</w:t>
      </w:r>
      <w:r w:rsidR="6C18F644" w:rsidRPr="6856CF3A">
        <w:rPr>
          <w:sz w:val="24"/>
          <w:szCs w:val="24"/>
        </w:rPr>
        <w:t xml:space="preserve"> </w:t>
      </w:r>
    </w:p>
    <w:p w14:paraId="778392C0" w14:textId="2EA9CB92" w:rsidR="6C18F644" w:rsidRDefault="6C18F644" w:rsidP="6856CF3A">
      <w:pPr>
        <w:widowControl w:val="0"/>
        <w:spacing w:line="240" w:lineRule="auto"/>
        <w:rPr>
          <w:rFonts w:eastAsia="Times New Roman"/>
          <w:sz w:val="28"/>
          <w:szCs w:val="28"/>
        </w:rPr>
      </w:pPr>
      <w:r w:rsidRPr="6856CF3A">
        <w:rPr>
          <w:sz w:val="24"/>
          <w:szCs w:val="24"/>
        </w:rPr>
        <w:t>The vertical electric field is the most frequently measured parameter in atmospheric electricity, represented as the Potential Gradient (PG). At the Earth's surface, the PG is the voltage difference between the ground and a point located 1 m directly above it with units of volts per metre (Vm</w:t>
      </w:r>
      <w:r w:rsidRPr="6856CF3A">
        <w:rPr>
          <w:sz w:val="24"/>
          <w:szCs w:val="24"/>
          <w:vertAlign w:val="superscript"/>
        </w:rPr>
        <w:t>-1</w:t>
      </w:r>
      <w:r w:rsidRPr="6856CF3A">
        <w:rPr>
          <w:sz w:val="24"/>
          <w:szCs w:val="24"/>
        </w:rPr>
        <w:t>).  The PG is positive in fair weather with values generally from 100 Vm</w:t>
      </w:r>
      <w:r w:rsidRPr="6856CF3A">
        <w:rPr>
          <w:sz w:val="24"/>
          <w:szCs w:val="24"/>
          <w:vertAlign w:val="superscript"/>
        </w:rPr>
        <w:t xml:space="preserve">-1 </w:t>
      </w:r>
      <w:r w:rsidRPr="6856CF3A">
        <w:rPr>
          <w:sz w:val="24"/>
          <w:szCs w:val="24"/>
        </w:rPr>
        <w:t>to 150 Vm</w:t>
      </w:r>
      <w:r w:rsidRPr="6856CF3A">
        <w:rPr>
          <w:sz w:val="24"/>
          <w:szCs w:val="24"/>
          <w:vertAlign w:val="superscript"/>
        </w:rPr>
        <w:t>-1</w:t>
      </w:r>
      <w:r w:rsidRPr="6856CF3A">
        <w:rPr>
          <w:sz w:val="24"/>
          <w:szCs w:val="24"/>
        </w:rPr>
        <w:t xml:space="preserve">. </w:t>
      </w:r>
      <w:r w:rsidRPr="6856CF3A">
        <w:rPr>
          <w:rFonts w:ascii="Calibri" w:eastAsia="Calibri" w:hAnsi="Calibri" w:cs="Calibri"/>
          <w:sz w:val="24"/>
          <w:szCs w:val="24"/>
        </w:rPr>
        <w:t xml:space="preserve">The measurements are corrected to those taken over level ground, by applying a reduction factor which was independently determined. A general description of atmospheric electricity </w:t>
      </w:r>
      <w:r w:rsidRPr="6856CF3A">
        <w:rPr>
          <w:sz w:val="24"/>
          <w:szCs w:val="24"/>
        </w:rPr>
        <w:t xml:space="preserve">measurement methods is given in </w:t>
      </w:r>
      <w:sdt>
        <w:sdtPr>
          <w:rPr>
            <w:rFonts w:eastAsia="Times New Roman"/>
            <w:sz w:val="24"/>
            <w:szCs w:val="24"/>
          </w:rPr>
          <w:tag w:val="MENDELEY_CITATION_v3_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"/>
          <w:id w:val="127355300"/>
          <w:placeholder>
            <w:docPart w:val="DefaultPlaceholder_-1854013440"/>
          </w:placeholder>
        </w:sdtPr>
        <w:sdtContent>
          <w:r w:rsidRPr="6856CF3A">
            <w:rPr>
              <w:rFonts w:eastAsia="Times New Roman"/>
              <w:sz w:val="24"/>
              <w:szCs w:val="24"/>
            </w:rPr>
            <w:t>Harrison &amp; Bennett, (2022)</w:t>
          </w:r>
        </w:sdtContent>
      </w:sdt>
      <w:r w:rsidRPr="6856CF3A">
        <w:rPr>
          <w:sz w:val="24"/>
          <w:szCs w:val="24"/>
        </w:rPr>
        <w:t xml:space="preserve">, and an account of the atmospheric electricity measurements at Lerwick Observatory is given in </w:t>
      </w:r>
      <w:sdt>
        <w:sdtPr>
          <w:rPr>
            <w:rFonts w:eastAsia="Times New Roman"/>
            <w:sz w:val="24"/>
            <w:szCs w:val="24"/>
          </w:rPr>
          <w:tag w:val="MENDELEY_CITATION_v3_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"/>
          <w:id w:val="202922662"/>
          <w:placeholder>
            <w:docPart w:val="DefaultPlaceholder_-1854013440"/>
          </w:placeholder>
        </w:sdtPr>
        <w:sdtContent>
          <w:r w:rsidRPr="6856CF3A">
            <w:rPr>
              <w:rFonts w:eastAsia="Times New Roman"/>
              <w:sz w:val="24"/>
              <w:szCs w:val="24"/>
            </w:rPr>
            <w:t>(Harrison &amp; Riddick, 2022).</w:t>
          </w:r>
        </w:sdtContent>
      </w:sdt>
    </w:p>
    <w:p w14:paraId="247AF23B" w14:textId="28A749E5" w:rsidR="00072E1D" w:rsidRDefault="532F2F6C" w:rsidP="773C6C21">
      <w:pPr>
        <w:widowControl w:val="0"/>
        <w:autoSpaceDE w:val="0"/>
        <w:autoSpaceDN w:val="0"/>
        <w:adjustRightInd w:val="0"/>
        <w:spacing w:line="240" w:lineRule="auto"/>
        <w:jc w:val="both"/>
      </w:pPr>
      <w:r w:rsidRPr="7F334506">
        <w:t xml:space="preserve"> </w:t>
      </w:r>
      <w:r w:rsidR="00072E1D">
        <w:rPr>
          <w:noProof/>
        </w:rPr>
        <w:drawing>
          <wp:inline distT="0" distB="0" distL="0" distR="0" wp14:anchorId="485AF36B" wp14:editId="35952146">
            <wp:extent cx="5141760" cy="2406226"/>
            <wp:effectExtent l="0" t="0" r="0" b="0"/>
            <wp:docPr id="81822501" name="Picture 81822501" descr="A map of the united kingd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2501" name="Picture 1" descr="A map of the united kingdom&#10;&#10;Description automatically generated"/>
                    <pic:cNvPicPr/>
                  </pic:nvPicPr>
                  <pic:blipFill rotWithShape="1">
                    <a:blip r:embed="rId15"/>
                    <a:srcRect t="23606" b="24528"/>
                    <a:stretch/>
                  </pic:blipFill>
                  <pic:spPr bwMode="auto">
                    <a:xfrm>
                      <a:off x="0" y="0"/>
                      <a:ext cx="5141760" cy="2406226"/>
                    </a:xfrm>
                    <a:prstGeom prst="rect">
                      <a:avLst/>
                    </a:prstGeom>
                    <a:ln>
                      <a:noFill/>
                    </a:ln>
                    <a:extLst>
                      <a:ext uri="{53640926-AAD7-44D8-BBD7-CCE9431645EC}">
                        <a14:shadowObscured xmlns:a14="http://schemas.microsoft.com/office/drawing/2010/main"/>
                      </a:ext>
                    </a:extLst>
                  </pic:spPr>
                </pic:pic>
              </a:graphicData>
            </a:graphic>
          </wp:inline>
        </w:drawing>
      </w:r>
    </w:p>
    <w:p w14:paraId="06249E73" w14:textId="14F6A35C" w:rsidR="4EEFB8D5" w:rsidRDefault="4EEFB8D5" w:rsidP="6856CF3A">
      <w:pPr>
        <w:widowControl w:val="0"/>
        <w:spacing w:line="240" w:lineRule="auto"/>
        <w:rPr>
          <w:rFonts w:eastAsia="Times New Roman"/>
          <w:sz w:val="28"/>
          <w:szCs w:val="28"/>
        </w:rPr>
      </w:pPr>
      <w:r w:rsidRPr="6856CF3A">
        <w:rPr>
          <w:b/>
          <w:bCs/>
          <w:sz w:val="20"/>
          <w:szCs w:val="20"/>
        </w:rPr>
        <w:t>Figure 1.</w:t>
      </w:r>
      <w:r w:rsidR="2D62B9CA" w:rsidRPr="6856CF3A">
        <w:rPr>
          <w:b/>
          <w:bCs/>
          <w:sz w:val="20"/>
          <w:szCs w:val="20"/>
        </w:rPr>
        <w:t xml:space="preserve"> Maps of (a) the UK and (b) the Shetland Islands, showing the position of Lerwick. (</w:t>
      </w:r>
      <w:r w:rsidR="6129BA01" w:rsidRPr="6856CF3A">
        <w:rPr>
          <w:b/>
          <w:bCs/>
          <w:sz w:val="20"/>
          <w:szCs w:val="20"/>
        </w:rPr>
        <w:t xml:space="preserve">The two further atmospheric electricity monitoring sites at Kew and </w:t>
      </w:r>
      <w:proofErr w:type="spellStart"/>
      <w:r w:rsidR="6129BA01" w:rsidRPr="6856CF3A">
        <w:rPr>
          <w:b/>
          <w:bCs/>
          <w:sz w:val="20"/>
          <w:szCs w:val="20"/>
        </w:rPr>
        <w:t>Eskdalemuir</w:t>
      </w:r>
      <w:proofErr w:type="spellEnd"/>
      <w:r w:rsidR="6129BA01" w:rsidRPr="6856CF3A">
        <w:rPr>
          <w:b/>
          <w:bCs/>
          <w:sz w:val="20"/>
          <w:szCs w:val="20"/>
        </w:rPr>
        <w:t xml:space="preserve"> are also marked)</w:t>
      </w:r>
      <w:r w:rsidR="14170D87" w:rsidRPr="6856CF3A">
        <w:rPr>
          <w:b/>
          <w:bCs/>
          <w:sz w:val="20"/>
          <w:szCs w:val="20"/>
        </w:rPr>
        <w:t xml:space="preserve"> (</w:t>
      </w:r>
      <w:r w:rsidR="5A0F1FC7" w:rsidRPr="6856CF3A">
        <w:rPr>
          <w:b/>
          <w:bCs/>
          <w:sz w:val="20"/>
          <w:szCs w:val="20"/>
        </w:rPr>
        <w:t xml:space="preserve">adopted </w:t>
      </w:r>
      <w:r w:rsidR="14170D87" w:rsidRPr="6856CF3A">
        <w:rPr>
          <w:b/>
          <w:bCs/>
          <w:sz w:val="20"/>
          <w:szCs w:val="20"/>
        </w:rPr>
        <w:t>from Harrison et al 2023)</w:t>
      </w:r>
      <w:r w:rsidR="6129BA01" w:rsidRPr="6856CF3A">
        <w:rPr>
          <w:b/>
          <w:bCs/>
        </w:rPr>
        <w:t>.</w:t>
      </w:r>
    </w:p>
    <w:p w14:paraId="1CF65F1B" w14:textId="29FC9AE5" w:rsidR="03DB6624" w:rsidRDefault="03DB6624" w:rsidP="6856CF3A">
      <w:pPr>
        <w:widowControl w:val="0"/>
        <w:spacing w:line="240" w:lineRule="auto"/>
        <w:jc w:val="both"/>
        <w:rPr>
          <w:sz w:val="24"/>
          <w:szCs w:val="24"/>
        </w:rPr>
      </w:pPr>
      <w:r w:rsidRPr="6856CF3A">
        <w:rPr>
          <w:sz w:val="24"/>
          <w:szCs w:val="24"/>
        </w:rPr>
        <w:lastRenderedPageBreak/>
        <w:t>From 1964-1984 the data were classified by identifying the hour of recording as having “fair weather” or “no hydrometeors” conditions. The meteorological conditions were either those of no precipitation (i.e. without rain, snow or hail), described as “no hydrometeors” (NH), or, more demandingly, fair weather. A discussion of the criteria for identifying fair weather in atmospheric electricity is given in Harrison and Nicoll, (2018).</w:t>
      </w:r>
    </w:p>
    <w:p w14:paraId="11731EC3" w14:textId="45A41E2A" w:rsidR="006D381C" w:rsidRDefault="258A3BC8" w:rsidP="6856CF3A">
      <w:pPr>
        <w:rPr>
          <w:sz w:val="28"/>
          <w:szCs w:val="28"/>
        </w:rPr>
      </w:pPr>
      <w:r w:rsidRPr="6856CF3A">
        <w:rPr>
          <w:b/>
          <w:bCs/>
          <w:sz w:val="24"/>
          <w:szCs w:val="24"/>
        </w:rPr>
        <w:t>Note that t</w:t>
      </w:r>
      <w:r w:rsidR="4D4EE92B" w:rsidRPr="6856CF3A">
        <w:rPr>
          <w:b/>
          <w:bCs/>
          <w:sz w:val="24"/>
          <w:szCs w:val="24"/>
        </w:rPr>
        <w:t>he early part of this record, 1964 to 1967, is affected by radioactive contamination from nuclear weapons test.</w:t>
      </w:r>
      <w:r w:rsidR="4D4EE92B" w:rsidRPr="6856CF3A">
        <w:rPr>
          <w:sz w:val="24"/>
          <w:szCs w:val="24"/>
        </w:rPr>
        <w:t xml:space="preserve"> </w:t>
      </w:r>
      <w:r w:rsidR="64DC0F54" w:rsidRPr="6856CF3A">
        <w:rPr>
          <w:sz w:val="24"/>
          <w:szCs w:val="24"/>
        </w:rPr>
        <w:t xml:space="preserve">The data from 1968 </w:t>
      </w:r>
      <w:r w:rsidRPr="6856CF3A">
        <w:rPr>
          <w:sz w:val="24"/>
          <w:szCs w:val="24"/>
        </w:rPr>
        <w:t>seems unaffected. Also, t</w:t>
      </w:r>
      <w:r w:rsidR="4D4EE92B" w:rsidRPr="6856CF3A">
        <w:rPr>
          <w:sz w:val="24"/>
          <w:szCs w:val="24"/>
        </w:rPr>
        <w:t>he data values for June 1979 are missing.</w:t>
      </w:r>
    </w:p>
    <w:p w14:paraId="63B2D24F" w14:textId="4009CDD3" w:rsidR="006D381C" w:rsidRDefault="7D600880" w:rsidP="6856CF3A">
      <w:pPr>
        <w:rPr>
          <w:sz w:val="28"/>
          <w:szCs w:val="28"/>
        </w:rPr>
      </w:pPr>
      <w:r w:rsidRPr="6856CF3A">
        <w:rPr>
          <w:sz w:val="24"/>
          <w:szCs w:val="24"/>
        </w:rPr>
        <w:t xml:space="preserve">Monthly mean values from </w:t>
      </w:r>
      <w:r w:rsidR="5DE64A80" w:rsidRPr="6856CF3A">
        <w:rPr>
          <w:sz w:val="24"/>
          <w:szCs w:val="24"/>
        </w:rPr>
        <w:t xml:space="preserve">the original </w:t>
      </w:r>
      <w:r w:rsidR="6C9DFF6F" w:rsidRPr="6856CF3A">
        <w:rPr>
          <w:sz w:val="24"/>
          <w:szCs w:val="24"/>
        </w:rPr>
        <w:t xml:space="preserve">Lerwick data </w:t>
      </w:r>
      <w:r w:rsidR="5DE64A80" w:rsidRPr="6856CF3A">
        <w:rPr>
          <w:sz w:val="24"/>
          <w:szCs w:val="24"/>
        </w:rPr>
        <w:t xml:space="preserve">tabulations (OYB or Archive sheets) </w:t>
      </w:r>
      <w:r w:rsidRPr="6856CF3A">
        <w:rPr>
          <w:sz w:val="24"/>
          <w:szCs w:val="24"/>
        </w:rPr>
        <w:t>are</w:t>
      </w:r>
      <w:r w:rsidR="6C9DFF6F" w:rsidRPr="6856CF3A">
        <w:rPr>
          <w:sz w:val="24"/>
          <w:szCs w:val="24"/>
        </w:rPr>
        <w:t xml:space="preserve"> presented here. </w:t>
      </w:r>
      <w:r w:rsidR="28B5567E" w:rsidRPr="6856CF3A">
        <w:rPr>
          <w:sz w:val="24"/>
          <w:szCs w:val="24"/>
        </w:rPr>
        <w:t xml:space="preserve">There </w:t>
      </w:r>
      <w:r w:rsidR="74DD1CE0" w:rsidRPr="6856CF3A">
        <w:rPr>
          <w:sz w:val="24"/>
          <w:szCs w:val="24"/>
        </w:rPr>
        <w:t>are 4 files</w:t>
      </w:r>
      <w:r w:rsidR="28B5567E" w:rsidRPr="6856CF3A">
        <w:rPr>
          <w:sz w:val="24"/>
          <w:szCs w:val="24"/>
        </w:rPr>
        <w:t>:</w:t>
      </w:r>
    </w:p>
    <w:tbl>
      <w:tblPr>
        <w:tblStyle w:val="TableGrid"/>
        <w:tblW w:w="9016" w:type="dxa"/>
        <w:tblLook w:val="04A0" w:firstRow="1" w:lastRow="0" w:firstColumn="1" w:lastColumn="0" w:noHBand="0" w:noVBand="1"/>
      </w:tblPr>
      <w:tblGrid>
        <w:gridCol w:w="2303"/>
        <w:gridCol w:w="5205"/>
        <w:gridCol w:w="1508"/>
      </w:tblGrid>
      <w:tr w:rsidR="004A6764" w14:paraId="250DEFB8" w14:textId="7520203D" w:rsidTr="6856CF3A">
        <w:tc>
          <w:tcPr>
            <w:tcW w:w="2303" w:type="dxa"/>
          </w:tcPr>
          <w:p w14:paraId="45A06B80" w14:textId="570F7C52" w:rsidR="004A6764" w:rsidRDefault="004A6764" w:rsidP="00A13205">
            <w:r>
              <w:t>Filename</w:t>
            </w:r>
          </w:p>
        </w:tc>
        <w:tc>
          <w:tcPr>
            <w:tcW w:w="5205" w:type="dxa"/>
          </w:tcPr>
          <w:p w14:paraId="3648E1DF" w14:textId="5669F536" w:rsidR="004A6764" w:rsidRDefault="004A6764" w:rsidP="00A13205">
            <w:r>
              <w:t>Contents</w:t>
            </w:r>
          </w:p>
        </w:tc>
        <w:tc>
          <w:tcPr>
            <w:tcW w:w="1508" w:type="dxa"/>
          </w:tcPr>
          <w:p w14:paraId="6C81CBB4" w14:textId="29BC5533" w:rsidR="004A6764" w:rsidRDefault="008C42CD" w:rsidP="00A13205">
            <w:r>
              <w:t>Data format</w:t>
            </w:r>
          </w:p>
        </w:tc>
      </w:tr>
      <w:tr w:rsidR="004A6764" w14:paraId="0056B129" w14:textId="3C45B70D" w:rsidTr="6856CF3A">
        <w:tc>
          <w:tcPr>
            <w:tcW w:w="2303" w:type="dxa"/>
          </w:tcPr>
          <w:p w14:paraId="57B6F060" w14:textId="368656FE" w:rsidR="004A6764" w:rsidRDefault="004A6764" w:rsidP="7F334506">
            <w:pPr>
              <w:rPr>
                <w:b/>
                <w:bCs/>
              </w:rPr>
            </w:pPr>
            <w:r w:rsidRPr="5068B82A">
              <w:rPr>
                <w:b/>
                <w:bCs/>
              </w:rPr>
              <w:t>FW_PG_1964-1984.xlsx</w:t>
            </w:r>
            <w:r w:rsidR="00D46A81">
              <w:rPr>
                <w:b/>
                <w:bCs/>
              </w:rPr>
              <w:t xml:space="preserve"> </w:t>
            </w:r>
            <w:r w:rsidR="009A7B6A" w:rsidRPr="009A7B6A">
              <w:rPr>
                <w:b/>
                <w:bCs/>
              </w:rPr>
              <w:t>(</w:t>
            </w:r>
            <w:r w:rsidR="00D46A81">
              <w:rPr>
                <w:b/>
                <w:bCs/>
              </w:rPr>
              <w:t>.</w:t>
            </w:r>
            <w:r w:rsidR="009A7B6A">
              <w:rPr>
                <w:b/>
                <w:bCs/>
              </w:rPr>
              <w:t>csv</w:t>
            </w:r>
            <w:r w:rsidR="009A7B6A" w:rsidRPr="009A7B6A">
              <w:rPr>
                <w:b/>
                <w:bCs/>
              </w:rPr>
              <w:t>)</w:t>
            </w:r>
          </w:p>
        </w:tc>
        <w:tc>
          <w:tcPr>
            <w:tcW w:w="5205" w:type="dxa"/>
          </w:tcPr>
          <w:p w14:paraId="20308478" w14:textId="33F4CF64" w:rsidR="004A6764" w:rsidRDefault="004A6764" w:rsidP="7F334506">
            <w:r>
              <w:t xml:space="preserve">Monthly mean PG values by hours from 1964-1984 for fair-weather conditions.  </w:t>
            </w:r>
          </w:p>
        </w:tc>
        <w:tc>
          <w:tcPr>
            <w:tcW w:w="1508" w:type="dxa"/>
          </w:tcPr>
          <w:p w14:paraId="598C35E1" w14:textId="56CC2EB4" w:rsidR="004A6764" w:rsidRDefault="008C42CD" w:rsidP="7F334506">
            <w:r>
              <w:t xml:space="preserve">Table </w:t>
            </w:r>
            <w:r w:rsidR="001704FC">
              <w:t>1</w:t>
            </w:r>
          </w:p>
        </w:tc>
      </w:tr>
      <w:tr w:rsidR="6856CF3A" w14:paraId="63CF8A37" w14:textId="77777777" w:rsidTr="6856CF3A">
        <w:trPr>
          <w:trHeight w:val="300"/>
        </w:trPr>
        <w:tc>
          <w:tcPr>
            <w:tcW w:w="2303" w:type="dxa"/>
          </w:tcPr>
          <w:p w14:paraId="48D78687" w14:textId="7877AE95" w:rsidR="04161442" w:rsidRDefault="04161442" w:rsidP="6856CF3A">
            <w:pPr>
              <w:rPr>
                <w:b/>
                <w:bCs/>
              </w:rPr>
            </w:pPr>
            <w:r w:rsidRPr="6856CF3A">
              <w:rPr>
                <w:b/>
                <w:bCs/>
              </w:rPr>
              <w:t>FW_hours_1964-1984.xlsx</w:t>
            </w:r>
            <w:r w:rsidRPr="009A7B6A">
              <w:rPr>
                <w:b/>
                <w:bCs/>
              </w:rPr>
              <w:t xml:space="preserve"> </w:t>
            </w:r>
            <w:r w:rsidR="009A7B6A" w:rsidRPr="009A7B6A">
              <w:rPr>
                <w:b/>
                <w:bCs/>
              </w:rPr>
              <w:t>(</w:t>
            </w:r>
            <w:r w:rsidR="00D46A81">
              <w:rPr>
                <w:b/>
                <w:bCs/>
              </w:rPr>
              <w:t>.</w:t>
            </w:r>
            <w:r w:rsidR="009A7B6A">
              <w:rPr>
                <w:b/>
                <w:bCs/>
              </w:rPr>
              <w:t>csv</w:t>
            </w:r>
            <w:r w:rsidR="009A7B6A" w:rsidRPr="009A7B6A">
              <w:rPr>
                <w:b/>
                <w:bCs/>
              </w:rPr>
              <w:t>)</w:t>
            </w:r>
            <w:r w:rsidRPr="009A7B6A">
              <w:rPr>
                <w:b/>
                <w:bCs/>
              </w:rPr>
              <w:t xml:space="preserve"> </w:t>
            </w:r>
          </w:p>
        </w:tc>
        <w:tc>
          <w:tcPr>
            <w:tcW w:w="5205" w:type="dxa"/>
          </w:tcPr>
          <w:p w14:paraId="5CA1315A" w14:textId="7810908F" w:rsidR="04161442" w:rsidRDefault="04161442" w:rsidP="6856CF3A">
            <w:r>
              <w:t>Duration of "Fair Weather" hours in the averaged FW PG.</w:t>
            </w:r>
          </w:p>
        </w:tc>
        <w:tc>
          <w:tcPr>
            <w:tcW w:w="1508" w:type="dxa"/>
          </w:tcPr>
          <w:p w14:paraId="7DF915F7" w14:textId="085376C5" w:rsidR="04161442" w:rsidRDefault="04161442" w:rsidP="6856CF3A">
            <w:r>
              <w:t>Table 2</w:t>
            </w:r>
          </w:p>
        </w:tc>
      </w:tr>
      <w:tr w:rsidR="004A6764" w14:paraId="47DB57A5" w14:textId="5F2931A2" w:rsidTr="6856CF3A">
        <w:trPr>
          <w:trHeight w:val="300"/>
        </w:trPr>
        <w:tc>
          <w:tcPr>
            <w:tcW w:w="2303" w:type="dxa"/>
          </w:tcPr>
          <w:p w14:paraId="49436923" w14:textId="3353AC0C" w:rsidR="004A6764" w:rsidRDefault="004A6764" w:rsidP="5068B82A">
            <w:pPr>
              <w:rPr>
                <w:b/>
                <w:bCs/>
              </w:rPr>
            </w:pPr>
            <w:r w:rsidRPr="5068B82A">
              <w:rPr>
                <w:b/>
                <w:bCs/>
              </w:rPr>
              <w:t>NH_PG_1964-1984.xlsx</w:t>
            </w:r>
            <w:r w:rsidR="00D46A81">
              <w:rPr>
                <w:b/>
                <w:bCs/>
              </w:rPr>
              <w:t xml:space="preserve"> </w:t>
            </w:r>
            <w:r w:rsidR="009A7B6A" w:rsidRPr="009A7B6A">
              <w:rPr>
                <w:b/>
                <w:bCs/>
              </w:rPr>
              <w:t>(</w:t>
            </w:r>
            <w:r w:rsidR="00D46A81">
              <w:rPr>
                <w:b/>
                <w:bCs/>
              </w:rPr>
              <w:t>.</w:t>
            </w:r>
            <w:r w:rsidR="009A7B6A">
              <w:rPr>
                <w:b/>
                <w:bCs/>
              </w:rPr>
              <w:t>csv</w:t>
            </w:r>
            <w:r w:rsidR="009A7B6A" w:rsidRPr="009A7B6A">
              <w:rPr>
                <w:b/>
                <w:bCs/>
              </w:rPr>
              <w:t>)</w:t>
            </w:r>
          </w:p>
        </w:tc>
        <w:tc>
          <w:tcPr>
            <w:tcW w:w="5205" w:type="dxa"/>
          </w:tcPr>
          <w:p w14:paraId="37661C33" w14:textId="467AC482" w:rsidR="004A6764" w:rsidRDefault="004A6764" w:rsidP="5068B82A">
            <w:r>
              <w:t>Monthly mean PG values by hours from 1964-1984 for “</w:t>
            </w:r>
            <w:r w:rsidRPr="5068B82A">
              <w:rPr>
                <w:rFonts w:ascii="Aptos Narrow" w:eastAsia="Aptos Narrow" w:hAnsi="Aptos Narrow" w:cs="Aptos Narrow"/>
                <w:color w:val="242424"/>
              </w:rPr>
              <w:t>No Hydrometeor”</w:t>
            </w:r>
            <w:r>
              <w:t xml:space="preserve"> conditions.  </w:t>
            </w:r>
          </w:p>
        </w:tc>
        <w:tc>
          <w:tcPr>
            <w:tcW w:w="1508" w:type="dxa"/>
          </w:tcPr>
          <w:p w14:paraId="4A62000C" w14:textId="0F15A00F" w:rsidR="004A6764" w:rsidRDefault="001704FC" w:rsidP="5068B82A">
            <w:r>
              <w:t>Table 1</w:t>
            </w:r>
          </w:p>
        </w:tc>
      </w:tr>
      <w:tr w:rsidR="004A6764" w14:paraId="5E41B267" w14:textId="28B4E9BD" w:rsidTr="6856CF3A">
        <w:trPr>
          <w:trHeight w:val="300"/>
        </w:trPr>
        <w:tc>
          <w:tcPr>
            <w:tcW w:w="2303" w:type="dxa"/>
          </w:tcPr>
          <w:p w14:paraId="0F95F512" w14:textId="62453F93" w:rsidR="004A6764" w:rsidRDefault="5AD60A24" w:rsidP="6856CF3A">
            <w:pPr>
              <w:rPr>
                <w:b/>
                <w:bCs/>
              </w:rPr>
            </w:pPr>
            <w:r w:rsidRPr="6856CF3A">
              <w:rPr>
                <w:b/>
                <w:bCs/>
              </w:rPr>
              <w:t>NH_hours_1964-1984.xlsx</w:t>
            </w:r>
            <w:r w:rsidR="00D46A81">
              <w:rPr>
                <w:b/>
                <w:bCs/>
              </w:rPr>
              <w:t xml:space="preserve"> </w:t>
            </w:r>
            <w:r w:rsidR="009A7B6A" w:rsidRPr="009A7B6A">
              <w:rPr>
                <w:b/>
                <w:bCs/>
              </w:rPr>
              <w:t>(</w:t>
            </w:r>
            <w:r w:rsidR="00D46A81">
              <w:rPr>
                <w:b/>
                <w:bCs/>
              </w:rPr>
              <w:t>.</w:t>
            </w:r>
            <w:r w:rsidR="009A7B6A">
              <w:rPr>
                <w:b/>
                <w:bCs/>
              </w:rPr>
              <w:t>csv</w:t>
            </w:r>
            <w:r w:rsidR="009A7B6A" w:rsidRPr="009A7B6A">
              <w:rPr>
                <w:b/>
                <w:bCs/>
              </w:rPr>
              <w:t>)</w:t>
            </w:r>
          </w:p>
        </w:tc>
        <w:tc>
          <w:tcPr>
            <w:tcW w:w="5205" w:type="dxa"/>
          </w:tcPr>
          <w:p w14:paraId="138BF6BB" w14:textId="3906C41D" w:rsidR="004A6764" w:rsidRDefault="351CC12B">
            <w:r>
              <w:t>Duration of "</w:t>
            </w:r>
            <w:r w:rsidR="604541FB">
              <w:t xml:space="preserve">No Hydrometeor </w:t>
            </w:r>
            <w:r>
              <w:t xml:space="preserve">" hours in the averaged </w:t>
            </w:r>
            <w:r w:rsidR="7DD79344">
              <w:t>NH</w:t>
            </w:r>
            <w:r>
              <w:t xml:space="preserve"> PG</w:t>
            </w:r>
          </w:p>
        </w:tc>
        <w:tc>
          <w:tcPr>
            <w:tcW w:w="1508" w:type="dxa"/>
          </w:tcPr>
          <w:p w14:paraId="3F77B09B" w14:textId="3788968B" w:rsidR="004A6764" w:rsidRDefault="001704FC">
            <w:r>
              <w:t>Table 2</w:t>
            </w:r>
          </w:p>
        </w:tc>
      </w:tr>
    </w:tbl>
    <w:p w14:paraId="4D7CC868" w14:textId="77777777" w:rsidR="00D665E4" w:rsidRDefault="00D665E4" w:rsidP="773C6C21">
      <w:pPr>
        <w:jc w:val="both"/>
        <w:rPr>
          <w:color w:val="FF0000"/>
        </w:rPr>
      </w:pPr>
    </w:p>
    <w:p w14:paraId="160E3B4A" w14:textId="0B895F1C" w:rsidR="00E2524E" w:rsidRDefault="00CB2C06" w:rsidP="6856CF3A">
      <w:pPr>
        <w:widowControl w:val="0"/>
        <w:spacing w:line="240" w:lineRule="auto"/>
        <w:jc w:val="both"/>
        <w:rPr>
          <w:sz w:val="28"/>
          <w:szCs w:val="28"/>
        </w:rPr>
      </w:pPr>
      <w:r>
        <w:rPr>
          <w:sz w:val="24"/>
          <w:szCs w:val="24"/>
        </w:rPr>
        <w:t>The data can be found in</w:t>
      </w:r>
      <w:r w:rsidR="00441496">
        <w:rPr>
          <w:sz w:val="24"/>
          <w:szCs w:val="24"/>
        </w:rPr>
        <w:t xml:space="preserve"> both</w:t>
      </w:r>
      <w:r>
        <w:rPr>
          <w:sz w:val="24"/>
          <w:szCs w:val="24"/>
        </w:rPr>
        <w:t xml:space="preserve"> xl</w:t>
      </w:r>
      <w:r w:rsidR="00441496">
        <w:rPr>
          <w:sz w:val="24"/>
          <w:szCs w:val="24"/>
        </w:rPr>
        <w:t xml:space="preserve">sx and csv formats. </w:t>
      </w:r>
      <w:r w:rsidR="59A07976" w:rsidRPr="6856CF3A">
        <w:rPr>
          <w:sz w:val="24"/>
          <w:szCs w:val="24"/>
        </w:rPr>
        <w:t xml:space="preserve">The </w:t>
      </w:r>
      <w:r w:rsidR="01916CE8" w:rsidRPr="6856CF3A">
        <w:rPr>
          <w:sz w:val="24"/>
          <w:szCs w:val="24"/>
        </w:rPr>
        <w:t>file</w:t>
      </w:r>
      <w:r w:rsidR="3612ADAD" w:rsidRPr="6856CF3A">
        <w:rPr>
          <w:sz w:val="24"/>
          <w:szCs w:val="24"/>
        </w:rPr>
        <w:t>s are</w:t>
      </w:r>
      <w:r w:rsidR="01916CE8" w:rsidRPr="6856CF3A">
        <w:rPr>
          <w:sz w:val="24"/>
          <w:szCs w:val="24"/>
        </w:rPr>
        <w:t xml:space="preserve"> </w:t>
      </w:r>
      <w:r w:rsidR="03C0CD39" w:rsidRPr="6856CF3A">
        <w:rPr>
          <w:sz w:val="24"/>
          <w:szCs w:val="24"/>
        </w:rPr>
        <w:t>plain ascii text file</w:t>
      </w:r>
      <w:r w:rsidR="5186DF72" w:rsidRPr="6856CF3A">
        <w:rPr>
          <w:sz w:val="24"/>
          <w:szCs w:val="24"/>
        </w:rPr>
        <w:t>s</w:t>
      </w:r>
      <w:r w:rsidR="03C0CD39" w:rsidRPr="6856CF3A">
        <w:rPr>
          <w:sz w:val="24"/>
          <w:szCs w:val="24"/>
        </w:rPr>
        <w:t xml:space="preserve">, </w:t>
      </w:r>
      <w:r w:rsidR="5186DF72" w:rsidRPr="6856CF3A">
        <w:rPr>
          <w:sz w:val="24"/>
          <w:szCs w:val="24"/>
        </w:rPr>
        <w:t xml:space="preserve">comma separated, </w:t>
      </w:r>
      <w:r w:rsidR="03C0CD39" w:rsidRPr="6856CF3A">
        <w:rPr>
          <w:sz w:val="24"/>
          <w:szCs w:val="24"/>
        </w:rPr>
        <w:t>with each line of data values in columns running from left to right.</w:t>
      </w:r>
      <w:r w:rsidR="5AB660D6" w:rsidRPr="6856CF3A">
        <w:rPr>
          <w:sz w:val="24"/>
          <w:szCs w:val="24"/>
        </w:rPr>
        <w:t xml:space="preserve"> </w:t>
      </w:r>
      <w:r w:rsidR="74CB3155" w:rsidRPr="6856CF3A">
        <w:rPr>
          <w:sz w:val="24"/>
          <w:szCs w:val="24"/>
        </w:rPr>
        <w:t>They are</w:t>
      </w:r>
      <w:r w:rsidR="5AB660D6" w:rsidRPr="6856CF3A">
        <w:rPr>
          <w:sz w:val="24"/>
          <w:szCs w:val="24"/>
        </w:rPr>
        <w:t xml:space="preserve"> organise</w:t>
      </w:r>
      <w:r w:rsidR="01001860" w:rsidRPr="6856CF3A">
        <w:rPr>
          <w:sz w:val="24"/>
          <w:szCs w:val="24"/>
        </w:rPr>
        <w:t>d</w:t>
      </w:r>
      <w:r w:rsidR="5AB660D6" w:rsidRPr="6856CF3A">
        <w:rPr>
          <w:sz w:val="24"/>
          <w:szCs w:val="24"/>
        </w:rPr>
        <w:t xml:space="preserve"> as described in Table</w:t>
      </w:r>
      <w:r w:rsidR="74CB3155" w:rsidRPr="6856CF3A">
        <w:rPr>
          <w:sz w:val="24"/>
          <w:szCs w:val="24"/>
        </w:rPr>
        <w:t>s</w:t>
      </w:r>
      <w:r w:rsidR="5AB660D6" w:rsidRPr="6856CF3A">
        <w:rPr>
          <w:sz w:val="24"/>
          <w:szCs w:val="24"/>
        </w:rPr>
        <w:t xml:space="preserve"> 1</w:t>
      </w:r>
      <w:r w:rsidR="74CB3155" w:rsidRPr="6856CF3A">
        <w:rPr>
          <w:sz w:val="24"/>
          <w:szCs w:val="24"/>
        </w:rPr>
        <w:t xml:space="preserve"> and 2 below</w:t>
      </w:r>
      <w:r w:rsidR="5AB660D6" w:rsidRPr="6856CF3A">
        <w:rPr>
          <w:sz w:val="24"/>
          <w:szCs w:val="24"/>
        </w:rPr>
        <w:t>.</w:t>
      </w:r>
      <w:r w:rsidR="293EE80C" w:rsidRPr="6856CF3A">
        <w:rPr>
          <w:sz w:val="24"/>
          <w:szCs w:val="24"/>
        </w:rPr>
        <w:t xml:space="preserve"> </w:t>
      </w:r>
      <w:r w:rsidR="144961BB" w:rsidRPr="6856CF3A">
        <w:rPr>
          <w:sz w:val="24"/>
          <w:szCs w:val="24"/>
        </w:rPr>
        <w:t xml:space="preserve">Each </w:t>
      </w:r>
      <w:r w:rsidR="776C11EF" w:rsidRPr="6856CF3A">
        <w:rPr>
          <w:sz w:val="24"/>
          <w:szCs w:val="24"/>
        </w:rPr>
        <w:t>file</w:t>
      </w:r>
      <w:r w:rsidR="23EBAE42" w:rsidRPr="6856CF3A">
        <w:rPr>
          <w:sz w:val="24"/>
          <w:szCs w:val="24"/>
        </w:rPr>
        <w:t xml:space="preserve"> </w:t>
      </w:r>
      <w:r w:rsidR="52E0A607" w:rsidRPr="6856CF3A">
        <w:rPr>
          <w:sz w:val="24"/>
          <w:szCs w:val="24"/>
        </w:rPr>
        <w:t>ha</w:t>
      </w:r>
      <w:r w:rsidR="0EF1BF52" w:rsidRPr="6856CF3A">
        <w:rPr>
          <w:sz w:val="24"/>
          <w:szCs w:val="24"/>
        </w:rPr>
        <w:t>s</w:t>
      </w:r>
      <w:r w:rsidR="52E0A607" w:rsidRPr="6856CF3A">
        <w:rPr>
          <w:sz w:val="24"/>
          <w:szCs w:val="24"/>
        </w:rPr>
        <w:t xml:space="preserve"> </w:t>
      </w:r>
      <w:r w:rsidR="4A12699D" w:rsidRPr="6856CF3A">
        <w:rPr>
          <w:sz w:val="24"/>
          <w:szCs w:val="24"/>
        </w:rPr>
        <w:t xml:space="preserve">eight </w:t>
      </w:r>
      <w:r w:rsidR="293EE80C" w:rsidRPr="6856CF3A">
        <w:rPr>
          <w:sz w:val="24"/>
          <w:szCs w:val="24"/>
        </w:rPr>
        <w:t>header lines</w:t>
      </w:r>
      <w:r w:rsidR="52E0A607" w:rsidRPr="6856CF3A">
        <w:rPr>
          <w:sz w:val="24"/>
          <w:szCs w:val="24"/>
        </w:rPr>
        <w:t>.</w:t>
      </w:r>
      <w:r w:rsidR="293EE80C" w:rsidRPr="6856CF3A">
        <w:rPr>
          <w:sz w:val="24"/>
          <w:szCs w:val="24"/>
        </w:rPr>
        <w:t xml:space="preserve"> </w:t>
      </w:r>
      <w:r w:rsidR="12BCE553" w:rsidRPr="6856CF3A">
        <w:rPr>
          <w:sz w:val="24"/>
          <w:szCs w:val="24"/>
        </w:rPr>
        <w:t xml:space="preserve">Missing values are </w:t>
      </w:r>
      <w:r w:rsidR="035BFCF3" w:rsidRPr="6856CF3A">
        <w:rPr>
          <w:sz w:val="24"/>
          <w:szCs w:val="24"/>
        </w:rPr>
        <w:t>indicated as NAN</w:t>
      </w:r>
      <w:r w:rsidR="3045D70A" w:rsidRPr="6856CF3A">
        <w:rPr>
          <w:sz w:val="24"/>
          <w:szCs w:val="24"/>
        </w:rPr>
        <w:t>.</w:t>
      </w:r>
    </w:p>
    <w:p w14:paraId="3E059D51" w14:textId="3E8E2053" w:rsidR="00A7388E" w:rsidRPr="00A7388E" w:rsidRDefault="00A7388E" w:rsidP="5068B82A">
      <w:pPr>
        <w:keepNext/>
        <w:rPr>
          <w:b/>
          <w:bCs/>
        </w:rPr>
      </w:pPr>
      <w:r>
        <w:br/>
      </w:r>
      <w:r w:rsidR="5AB660D6" w:rsidRPr="6856CF3A">
        <w:rPr>
          <w:b/>
          <w:bCs/>
        </w:rPr>
        <w:t xml:space="preserve">Table 1. Lerwick </w:t>
      </w:r>
      <w:r w:rsidR="3B40958F" w:rsidRPr="6856CF3A">
        <w:rPr>
          <w:b/>
          <w:bCs/>
        </w:rPr>
        <w:t>monthly mean</w:t>
      </w:r>
      <w:r w:rsidR="6016F274" w:rsidRPr="6856CF3A">
        <w:rPr>
          <w:b/>
          <w:bCs/>
        </w:rPr>
        <w:t xml:space="preserve"> PG </w:t>
      </w:r>
      <w:r w:rsidR="439145F7" w:rsidRPr="6856CF3A">
        <w:rPr>
          <w:b/>
          <w:bCs/>
        </w:rPr>
        <w:t xml:space="preserve">(FW or NH) </w:t>
      </w:r>
      <w:r w:rsidR="6016F274" w:rsidRPr="6856CF3A">
        <w:rPr>
          <w:b/>
          <w:bCs/>
        </w:rPr>
        <w:t>by hour of day</w:t>
      </w:r>
      <w:r w:rsidR="2B3CF52E" w:rsidRPr="6856CF3A">
        <w:rPr>
          <w:b/>
          <w:bCs/>
        </w:rPr>
        <w:t xml:space="preserve"> </w:t>
      </w:r>
    </w:p>
    <w:tbl>
      <w:tblPr>
        <w:tblStyle w:val="TableGrid"/>
        <w:tblW w:w="9125" w:type="dxa"/>
        <w:tblLook w:val="04A0" w:firstRow="1" w:lastRow="0" w:firstColumn="1" w:lastColumn="0" w:noHBand="0" w:noVBand="1"/>
      </w:tblPr>
      <w:tblGrid>
        <w:gridCol w:w="1095"/>
        <w:gridCol w:w="1920"/>
        <w:gridCol w:w="4845"/>
        <w:gridCol w:w="1265"/>
      </w:tblGrid>
      <w:tr w:rsidR="00E2524E" w14:paraId="1F68798D" w14:textId="77777777" w:rsidTr="6856CF3A">
        <w:trPr>
          <w:trHeight w:val="300"/>
        </w:trPr>
        <w:tc>
          <w:tcPr>
            <w:tcW w:w="1095" w:type="dxa"/>
            <w:vAlign w:val="center"/>
          </w:tcPr>
          <w:p w14:paraId="3B055588" w14:textId="5D3BC4D2" w:rsidR="00E2524E" w:rsidRDefault="00E2524E" w:rsidP="5068B82A">
            <w:pPr>
              <w:jc w:val="center"/>
              <w:rPr>
                <w:b/>
                <w:bCs/>
              </w:rPr>
            </w:pPr>
            <w:r w:rsidRPr="5068B82A">
              <w:rPr>
                <w:b/>
                <w:bCs/>
              </w:rPr>
              <w:t>Column numbe</w:t>
            </w:r>
            <w:r w:rsidR="5B545490" w:rsidRPr="5068B82A">
              <w:rPr>
                <w:b/>
                <w:bCs/>
              </w:rPr>
              <w:t>r</w:t>
            </w:r>
          </w:p>
        </w:tc>
        <w:tc>
          <w:tcPr>
            <w:tcW w:w="1920" w:type="dxa"/>
            <w:vAlign w:val="center"/>
          </w:tcPr>
          <w:p w14:paraId="56AF1F77" w14:textId="77777777" w:rsidR="00E2524E" w:rsidRDefault="00E2524E" w:rsidP="5068B82A">
            <w:pPr>
              <w:jc w:val="center"/>
              <w:rPr>
                <w:b/>
                <w:bCs/>
              </w:rPr>
            </w:pPr>
            <w:r w:rsidRPr="5068B82A">
              <w:rPr>
                <w:b/>
                <w:bCs/>
              </w:rPr>
              <w:t>Quantity</w:t>
            </w:r>
          </w:p>
        </w:tc>
        <w:tc>
          <w:tcPr>
            <w:tcW w:w="4845" w:type="dxa"/>
            <w:vAlign w:val="center"/>
          </w:tcPr>
          <w:p w14:paraId="17570900" w14:textId="77777777" w:rsidR="00E2524E" w:rsidRDefault="00E2524E" w:rsidP="5068B82A">
            <w:pPr>
              <w:jc w:val="center"/>
              <w:rPr>
                <w:b/>
                <w:bCs/>
              </w:rPr>
            </w:pPr>
            <w:r w:rsidRPr="5068B82A">
              <w:rPr>
                <w:b/>
                <w:bCs/>
              </w:rPr>
              <w:t>Description</w:t>
            </w:r>
          </w:p>
        </w:tc>
        <w:tc>
          <w:tcPr>
            <w:tcW w:w="1265" w:type="dxa"/>
            <w:vAlign w:val="center"/>
          </w:tcPr>
          <w:p w14:paraId="010106A4" w14:textId="2EB9BEAE" w:rsidR="00E2524E" w:rsidRDefault="03AF604E" w:rsidP="5068B82A">
            <w:pPr>
              <w:jc w:val="center"/>
              <w:rPr>
                <w:b/>
                <w:bCs/>
              </w:rPr>
            </w:pPr>
            <w:r w:rsidRPr="6856CF3A">
              <w:rPr>
                <w:b/>
                <w:bCs/>
              </w:rPr>
              <w:t>U</w:t>
            </w:r>
            <w:r w:rsidR="03C0CD39" w:rsidRPr="6856CF3A">
              <w:rPr>
                <w:b/>
                <w:bCs/>
              </w:rPr>
              <w:t>nit</w:t>
            </w:r>
          </w:p>
        </w:tc>
      </w:tr>
      <w:tr w:rsidR="24F2E1EB" w14:paraId="2B3A781F" w14:textId="77777777" w:rsidTr="6856CF3A">
        <w:trPr>
          <w:trHeight w:val="300"/>
        </w:trPr>
        <w:tc>
          <w:tcPr>
            <w:tcW w:w="1095" w:type="dxa"/>
          </w:tcPr>
          <w:p w14:paraId="4DD531BD" w14:textId="2E3C04EF" w:rsidR="24F2E1EB" w:rsidRDefault="17A3926E" w:rsidP="6856CF3A">
            <w:pPr>
              <w:jc w:val="center"/>
              <w:rPr>
                <w:b/>
                <w:bCs/>
              </w:rPr>
            </w:pPr>
            <w:r w:rsidRPr="6856CF3A">
              <w:rPr>
                <w:b/>
                <w:bCs/>
              </w:rPr>
              <w:t>1</w:t>
            </w:r>
          </w:p>
        </w:tc>
        <w:tc>
          <w:tcPr>
            <w:tcW w:w="1920" w:type="dxa"/>
            <w:vAlign w:val="center"/>
          </w:tcPr>
          <w:p w14:paraId="14C1634B" w14:textId="64E7FD40" w:rsidR="00174D56" w:rsidRDefault="1EEE58DC" w:rsidP="5068B82A">
            <w:pPr>
              <w:jc w:val="center"/>
            </w:pPr>
            <w:r>
              <w:t>Year</w:t>
            </w:r>
          </w:p>
        </w:tc>
        <w:tc>
          <w:tcPr>
            <w:tcW w:w="4845" w:type="dxa"/>
          </w:tcPr>
          <w:p w14:paraId="274B619C" w14:textId="36625FF5" w:rsidR="24F2E1EB" w:rsidRDefault="4E924647" w:rsidP="7F334506">
            <w:r>
              <w:t>Time variable (value runs from 1964 to 1984)</w:t>
            </w:r>
          </w:p>
        </w:tc>
        <w:tc>
          <w:tcPr>
            <w:tcW w:w="1265" w:type="dxa"/>
            <w:vMerge w:val="restart"/>
            <w:vAlign w:val="center"/>
          </w:tcPr>
          <w:p w14:paraId="134D86C6" w14:textId="4D8526A9" w:rsidR="1CC03F4B" w:rsidRDefault="58FBDDCA" w:rsidP="7F334506">
            <w:pPr>
              <w:jc w:val="center"/>
            </w:pPr>
            <w:r>
              <w:t>GMT</w:t>
            </w:r>
          </w:p>
        </w:tc>
      </w:tr>
      <w:tr w:rsidR="00E2524E" w14:paraId="76C46096" w14:textId="77777777" w:rsidTr="6856CF3A">
        <w:trPr>
          <w:trHeight w:val="300"/>
        </w:trPr>
        <w:tc>
          <w:tcPr>
            <w:tcW w:w="1095" w:type="dxa"/>
          </w:tcPr>
          <w:p w14:paraId="060BE401" w14:textId="4DB2EAF6" w:rsidR="00E2524E" w:rsidRDefault="17A3926E" w:rsidP="6856CF3A">
            <w:pPr>
              <w:jc w:val="center"/>
              <w:rPr>
                <w:b/>
                <w:bCs/>
              </w:rPr>
            </w:pPr>
            <w:r w:rsidRPr="6856CF3A">
              <w:rPr>
                <w:b/>
                <w:bCs/>
              </w:rPr>
              <w:t>2</w:t>
            </w:r>
          </w:p>
        </w:tc>
        <w:tc>
          <w:tcPr>
            <w:tcW w:w="1920" w:type="dxa"/>
            <w:vAlign w:val="center"/>
          </w:tcPr>
          <w:p w14:paraId="1136A7CF" w14:textId="4C21BEB6" w:rsidR="00E2524E" w:rsidRDefault="3F8A73EE" w:rsidP="5068B82A">
            <w:pPr>
              <w:jc w:val="center"/>
            </w:pPr>
            <w:r>
              <w:t>Month</w:t>
            </w:r>
          </w:p>
        </w:tc>
        <w:tc>
          <w:tcPr>
            <w:tcW w:w="4845" w:type="dxa"/>
          </w:tcPr>
          <w:p w14:paraId="78D07D2F" w14:textId="37BF8748" w:rsidR="00E2524E" w:rsidRDefault="00E2524E" w:rsidP="7F334506">
            <w:r>
              <w:t xml:space="preserve">Time </w:t>
            </w:r>
            <w:r w:rsidR="0C91A629">
              <w:t>variable</w:t>
            </w:r>
            <w:r w:rsidR="6A0715DA">
              <w:t xml:space="preserve"> (value runs from</w:t>
            </w:r>
            <w:r w:rsidR="6A0715DA" w:rsidRPr="5068B82A">
              <w:rPr>
                <w:rFonts w:eastAsiaTheme="minorEastAsia"/>
              </w:rPr>
              <w:t xml:space="preserve"> </w:t>
            </w:r>
            <w:r w:rsidR="5327B5E7">
              <w:t xml:space="preserve">1 </w:t>
            </w:r>
            <w:r w:rsidR="6A0715DA">
              <w:t xml:space="preserve">to </w:t>
            </w:r>
            <w:r w:rsidR="1D152522">
              <w:t>12</w:t>
            </w:r>
            <w:r w:rsidR="6A0715DA">
              <w:t>)</w:t>
            </w:r>
          </w:p>
        </w:tc>
        <w:tc>
          <w:tcPr>
            <w:tcW w:w="1265" w:type="dxa"/>
            <w:vMerge/>
          </w:tcPr>
          <w:p w14:paraId="715F797B" w14:textId="7443ED30" w:rsidR="00E2524E" w:rsidRDefault="00E2524E" w:rsidP="773C6C21"/>
        </w:tc>
      </w:tr>
      <w:tr w:rsidR="24F2E1EB" w14:paraId="5539F494" w14:textId="77777777" w:rsidTr="6856CF3A">
        <w:trPr>
          <w:trHeight w:val="300"/>
        </w:trPr>
        <w:tc>
          <w:tcPr>
            <w:tcW w:w="1095" w:type="dxa"/>
            <w:vAlign w:val="center"/>
          </w:tcPr>
          <w:p w14:paraId="1E44FD43" w14:textId="297CD8BF" w:rsidR="5F553CB5" w:rsidRDefault="52094C7E" w:rsidP="5068B82A">
            <w:pPr>
              <w:jc w:val="center"/>
              <w:rPr>
                <w:b/>
                <w:bCs/>
              </w:rPr>
            </w:pPr>
            <w:r w:rsidRPr="5068B82A">
              <w:rPr>
                <w:b/>
                <w:bCs/>
              </w:rPr>
              <w:t>3 - 26</w:t>
            </w:r>
          </w:p>
        </w:tc>
        <w:tc>
          <w:tcPr>
            <w:tcW w:w="1920" w:type="dxa"/>
            <w:vAlign w:val="center"/>
          </w:tcPr>
          <w:p w14:paraId="16F3F983" w14:textId="23F73B1B" w:rsidR="7F334506" w:rsidRDefault="1B78CD9A" w:rsidP="5068B82A">
            <w:pPr>
              <w:jc w:val="center"/>
            </w:pPr>
            <w:r>
              <w:t>PG</w:t>
            </w:r>
            <w:r w:rsidR="133B486C">
              <w:t xml:space="preserve"> by hour of day</w:t>
            </w:r>
          </w:p>
        </w:tc>
        <w:tc>
          <w:tcPr>
            <w:tcW w:w="4845" w:type="dxa"/>
          </w:tcPr>
          <w:p w14:paraId="6DBF3564" w14:textId="00318209" w:rsidR="7F334506" w:rsidRDefault="1B78CD9A" w:rsidP="5068B82A">
            <w:r>
              <w:t xml:space="preserve">Monthly mean PG </w:t>
            </w:r>
            <w:r w:rsidR="0C1B44B4">
              <w:t xml:space="preserve">by hour of day </w:t>
            </w:r>
            <w:r w:rsidRPr="6856CF3A">
              <w:t xml:space="preserve">with </w:t>
            </w:r>
            <w:r>
              <w:t>“</w:t>
            </w:r>
            <w:r w:rsidR="046A89A0">
              <w:t>Fair-weather</w:t>
            </w:r>
            <w:r>
              <w:t>”</w:t>
            </w:r>
            <w:r w:rsidR="0CE1BFF5">
              <w:t xml:space="preserve"> (</w:t>
            </w:r>
            <w:r w:rsidR="6FCF766C">
              <w:t>“</w:t>
            </w:r>
            <w:r w:rsidR="64488894">
              <w:t>No Hydrometeors</w:t>
            </w:r>
            <w:r w:rsidR="0F571D3E">
              <w:t>”</w:t>
            </w:r>
            <w:r w:rsidR="0CE1BFF5">
              <w:t>)</w:t>
            </w:r>
            <w:r>
              <w:t xml:space="preserve"> for this hour of day</w:t>
            </w:r>
          </w:p>
        </w:tc>
        <w:tc>
          <w:tcPr>
            <w:tcW w:w="1265" w:type="dxa"/>
            <w:vAlign w:val="center"/>
          </w:tcPr>
          <w:p w14:paraId="5F2BF75D" w14:textId="760F0F5A" w:rsidR="24F2E1EB" w:rsidRDefault="48342E4B" w:rsidP="5068B82A">
            <w:pPr>
              <w:jc w:val="center"/>
            </w:pPr>
            <w:r>
              <w:t>Vm</w:t>
            </w:r>
            <w:r w:rsidRPr="6856CF3A">
              <w:rPr>
                <w:vertAlign w:val="superscript"/>
              </w:rPr>
              <w:t>-1</w:t>
            </w:r>
          </w:p>
        </w:tc>
      </w:tr>
    </w:tbl>
    <w:p w14:paraId="425BD3D9" w14:textId="07EE4F6F" w:rsidR="6856CF3A" w:rsidRDefault="6856CF3A" w:rsidP="6856CF3A">
      <w:pPr>
        <w:rPr>
          <w:b/>
          <w:bCs/>
        </w:rPr>
      </w:pPr>
    </w:p>
    <w:p w14:paraId="261955E5" w14:textId="6F86901F" w:rsidR="005E01BA" w:rsidRDefault="1F905AED" w:rsidP="6856CF3A">
      <w:pPr>
        <w:rPr>
          <w:b/>
          <w:bCs/>
        </w:rPr>
      </w:pPr>
      <w:r w:rsidRPr="6856CF3A">
        <w:rPr>
          <w:b/>
          <w:bCs/>
        </w:rPr>
        <w:t xml:space="preserve">Table 2 Lerwick </w:t>
      </w:r>
      <w:r w:rsidR="26AA4A62" w:rsidRPr="6856CF3A">
        <w:rPr>
          <w:b/>
          <w:bCs/>
        </w:rPr>
        <w:t>monthly d</w:t>
      </w:r>
      <w:r w:rsidRPr="6856CF3A">
        <w:rPr>
          <w:b/>
          <w:bCs/>
        </w:rPr>
        <w:t xml:space="preserve">uration of “Fair weather” (or “No Hydrometeors”) hours, </w:t>
      </w:r>
      <w:r w:rsidR="251E7931" w:rsidRPr="6856CF3A">
        <w:rPr>
          <w:b/>
          <w:bCs/>
        </w:rPr>
        <w:t>by</w:t>
      </w:r>
      <w:r w:rsidRPr="6856CF3A">
        <w:rPr>
          <w:b/>
          <w:bCs/>
        </w:rPr>
        <w:t xml:space="preserve"> hour of day. </w:t>
      </w:r>
    </w:p>
    <w:tbl>
      <w:tblPr>
        <w:tblStyle w:val="TableGrid"/>
        <w:tblW w:w="0" w:type="auto"/>
        <w:tblLook w:val="04A0" w:firstRow="1" w:lastRow="0" w:firstColumn="1" w:lastColumn="0" w:noHBand="0" w:noVBand="1"/>
      </w:tblPr>
      <w:tblGrid>
        <w:gridCol w:w="1004"/>
        <w:gridCol w:w="2011"/>
        <w:gridCol w:w="4845"/>
        <w:gridCol w:w="1265"/>
      </w:tblGrid>
      <w:tr w:rsidR="5068B82A" w14:paraId="0E29D6D1" w14:textId="77777777" w:rsidTr="5068B82A">
        <w:trPr>
          <w:trHeight w:val="300"/>
        </w:trPr>
        <w:tc>
          <w:tcPr>
            <w:tcW w:w="1004" w:type="dxa"/>
          </w:tcPr>
          <w:p w14:paraId="17BD1D06" w14:textId="77777777" w:rsidR="5068B82A" w:rsidRDefault="5068B82A" w:rsidP="5068B82A">
            <w:pPr>
              <w:jc w:val="center"/>
              <w:rPr>
                <w:b/>
                <w:bCs/>
              </w:rPr>
            </w:pPr>
            <w:r w:rsidRPr="5068B82A">
              <w:rPr>
                <w:b/>
                <w:bCs/>
              </w:rPr>
              <w:t>Column number</w:t>
            </w:r>
          </w:p>
        </w:tc>
        <w:tc>
          <w:tcPr>
            <w:tcW w:w="2011" w:type="dxa"/>
          </w:tcPr>
          <w:p w14:paraId="3CA1016B" w14:textId="77777777" w:rsidR="5068B82A" w:rsidRDefault="5068B82A" w:rsidP="5068B82A">
            <w:pPr>
              <w:jc w:val="center"/>
              <w:rPr>
                <w:b/>
                <w:bCs/>
              </w:rPr>
            </w:pPr>
            <w:r w:rsidRPr="5068B82A">
              <w:rPr>
                <w:b/>
                <w:bCs/>
              </w:rPr>
              <w:t>Quantity</w:t>
            </w:r>
          </w:p>
        </w:tc>
        <w:tc>
          <w:tcPr>
            <w:tcW w:w="4845" w:type="dxa"/>
          </w:tcPr>
          <w:p w14:paraId="455D7828" w14:textId="77777777" w:rsidR="5068B82A" w:rsidRDefault="5068B82A" w:rsidP="5068B82A">
            <w:pPr>
              <w:jc w:val="center"/>
              <w:rPr>
                <w:b/>
                <w:bCs/>
              </w:rPr>
            </w:pPr>
            <w:r w:rsidRPr="5068B82A">
              <w:rPr>
                <w:b/>
                <w:bCs/>
              </w:rPr>
              <w:t>Description</w:t>
            </w:r>
          </w:p>
        </w:tc>
        <w:tc>
          <w:tcPr>
            <w:tcW w:w="1265" w:type="dxa"/>
          </w:tcPr>
          <w:p w14:paraId="7AB27414" w14:textId="2F0C1F53" w:rsidR="5068B82A" w:rsidRDefault="5068B82A" w:rsidP="5068B82A">
            <w:pPr>
              <w:jc w:val="center"/>
              <w:rPr>
                <w:b/>
                <w:bCs/>
              </w:rPr>
            </w:pPr>
            <w:r w:rsidRPr="5068B82A">
              <w:rPr>
                <w:b/>
                <w:bCs/>
              </w:rPr>
              <w:t>Unit</w:t>
            </w:r>
          </w:p>
        </w:tc>
      </w:tr>
      <w:tr w:rsidR="5068B82A" w14:paraId="5DA26714" w14:textId="77777777" w:rsidTr="5068B82A">
        <w:trPr>
          <w:trHeight w:val="300"/>
        </w:trPr>
        <w:tc>
          <w:tcPr>
            <w:tcW w:w="1004" w:type="dxa"/>
          </w:tcPr>
          <w:p w14:paraId="1F795CC7" w14:textId="2E3C04EF" w:rsidR="5068B82A" w:rsidRDefault="5068B82A" w:rsidP="5068B82A">
            <w:pPr>
              <w:jc w:val="center"/>
              <w:rPr>
                <w:b/>
                <w:bCs/>
              </w:rPr>
            </w:pPr>
            <w:r w:rsidRPr="5068B82A">
              <w:rPr>
                <w:b/>
                <w:bCs/>
              </w:rPr>
              <w:t>1</w:t>
            </w:r>
          </w:p>
        </w:tc>
        <w:tc>
          <w:tcPr>
            <w:tcW w:w="2011" w:type="dxa"/>
            <w:vAlign w:val="center"/>
          </w:tcPr>
          <w:p w14:paraId="4855B7EF" w14:textId="64E7FD40" w:rsidR="5068B82A" w:rsidRDefault="5068B82A" w:rsidP="5068B82A">
            <w:pPr>
              <w:jc w:val="center"/>
            </w:pPr>
            <w:r>
              <w:t>Year</w:t>
            </w:r>
          </w:p>
        </w:tc>
        <w:tc>
          <w:tcPr>
            <w:tcW w:w="4845" w:type="dxa"/>
          </w:tcPr>
          <w:p w14:paraId="64BFE456" w14:textId="36625FF5" w:rsidR="5068B82A" w:rsidRDefault="5068B82A">
            <w:r>
              <w:t>Time variable (value runs from 1964 to 1984)</w:t>
            </w:r>
          </w:p>
        </w:tc>
        <w:tc>
          <w:tcPr>
            <w:tcW w:w="1265" w:type="dxa"/>
            <w:vMerge w:val="restart"/>
            <w:vAlign w:val="center"/>
          </w:tcPr>
          <w:p w14:paraId="63B57929" w14:textId="4D8526A9" w:rsidR="5068B82A" w:rsidRDefault="5068B82A" w:rsidP="5068B82A">
            <w:pPr>
              <w:jc w:val="center"/>
            </w:pPr>
            <w:r>
              <w:t>GMT</w:t>
            </w:r>
          </w:p>
        </w:tc>
      </w:tr>
      <w:tr w:rsidR="5068B82A" w14:paraId="62D05EA3" w14:textId="77777777" w:rsidTr="5068B82A">
        <w:trPr>
          <w:trHeight w:val="300"/>
        </w:trPr>
        <w:tc>
          <w:tcPr>
            <w:tcW w:w="1004" w:type="dxa"/>
          </w:tcPr>
          <w:p w14:paraId="5335162B" w14:textId="4DB2EAF6" w:rsidR="5068B82A" w:rsidRDefault="5068B82A" w:rsidP="5068B82A">
            <w:pPr>
              <w:jc w:val="center"/>
              <w:rPr>
                <w:b/>
                <w:bCs/>
              </w:rPr>
            </w:pPr>
            <w:r w:rsidRPr="5068B82A">
              <w:rPr>
                <w:b/>
                <w:bCs/>
              </w:rPr>
              <w:t>2</w:t>
            </w:r>
          </w:p>
        </w:tc>
        <w:tc>
          <w:tcPr>
            <w:tcW w:w="2011" w:type="dxa"/>
            <w:vAlign w:val="center"/>
          </w:tcPr>
          <w:p w14:paraId="4754AB47" w14:textId="4C21BEB6" w:rsidR="5068B82A" w:rsidRDefault="5068B82A" w:rsidP="5068B82A">
            <w:pPr>
              <w:jc w:val="center"/>
            </w:pPr>
            <w:r>
              <w:t>Month</w:t>
            </w:r>
          </w:p>
        </w:tc>
        <w:tc>
          <w:tcPr>
            <w:tcW w:w="4845" w:type="dxa"/>
          </w:tcPr>
          <w:p w14:paraId="7602C84B" w14:textId="37BF8748" w:rsidR="5068B82A" w:rsidRDefault="5068B82A">
            <w:r>
              <w:t>Time variable (value runs from</w:t>
            </w:r>
            <w:r w:rsidRPr="5068B82A">
              <w:rPr>
                <w:rFonts w:eastAsiaTheme="minorEastAsia"/>
              </w:rPr>
              <w:t xml:space="preserve"> </w:t>
            </w:r>
            <w:r>
              <w:t>1 to 12)</w:t>
            </w:r>
          </w:p>
        </w:tc>
        <w:tc>
          <w:tcPr>
            <w:tcW w:w="1265" w:type="dxa"/>
            <w:vMerge/>
          </w:tcPr>
          <w:p w14:paraId="31E684EE" w14:textId="77777777" w:rsidR="00A01B7B" w:rsidRDefault="00A01B7B"/>
        </w:tc>
      </w:tr>
      <w:tr w:rsidR="5068B82A" w14:paraId="0DD8B4EA" w14:textId="77777777" w:rsidTr="5068B82A">
        <w:trPr>
          <w:trHeight w:val="300"/>
        </w:trPr>
        <w:tc>
          <w:tcPr>
            <w:tcW w:w="1004" w:type="dxa"/>
          </w:tcPr>
          <w:p w14:paraId="154343D5" w14:textId="297CD8BF" w:rsidR="5068B82A" w:rsidRDefault="5068B82A" w:rsidP="5068B82A">
            <w:pPr>
              <w:jc w:val="center"/>
              <w:rPr>
                <w:b/>
                <w:bCs/>
              </w:rPr>
            </w:pPr>
            <w:r w:rsidRPr="5068B82A">
              <w:rPr>
                <w:b/>
                <w:bCs/>
              </w:rPr>
              <w:t>3 - 26</w:t>
            </w:r>
          </w:p>
        </w:tc>
        <w:tc>
          <w:tcPr>
            <w:tcW w:w="2011" w:type="dxa"/>
            <w:vAlign w:val="center"/>
          </w:tcPr>
          <w:p w14:paraId="65D97F09" w14:textId="693411E6" w:rsidR="7C59E466" w:rsidRDefault="00D160FC" w:rsidP="00D160FC">
            <w:pPr>
              <w:jc w:val="center"/>
            </w:pPr>
            <w:r>
              <w:t>Number of hourly measurements used in the average for the hour concerned</w:t>
            </w:r>
          </w:p>
        </w:tc>
        <w:tc>
          <w:tcPr>
            <w:tcW w:w="4845" w:type="dxa"/>
          </w:tcPr>
          <w:p w14:paraId="0B1D181A" w14:textId="14E7036E" w:rsidR="5068B82A" w:rsidRDefault="5068B82A" w:rsidP="5068B82A">
            <w:r>
              <w:t xml:space="preserve">Duration of </w:t>
            </w:r>
            <w:r w:rsidR="60C38C66">
              <w:t>“F</w:t>
            </w:r>
            <w:r>
              <w:t>air weather</w:t>
            </w:r>
            <w:r w:rsidR="2B3C1BCB">
              <w:t>”</w:t>
            </w:r>
            <w:r>
              <w:t xml:space="preserve"> </w:t>
            </w:r>
            <w:r w:rsidR="50BB2417">
              <w:t>(</w:t>
            </w:r>
            <w:r w:rsidR="4C2EEBB0">
              <w:t>“</w:t>
            </w:r>
            <w:r w:rsidR="50BB2417">
              <w:t>No Hydrometeors</w:t>
            </w:r>
            <w:r w:rsidR="07EE3B52">
              <w:t>”</w:t>
            </w:r>
            <w:r w:rsidR="50BB2417">
              <w:t xml:space="preserve">) </w:t>
            </w:r>
            <w:r>
              <w:t>in hours, for this hour of day</w:t>
            </w:r>
          </w:p>
        </w:tc>
        <w:tc>
          <w:tcPr>
            <w:tcW w:w="1265" w:type="dxa"/>
            <w:vAlign w:val="center"/>
          </w:tcPr>
          <w:p w14:paraId="141886F0" w14:textId="039CCBE4" w:rsidR="5068B82A" w:rsidRDefault="5068B82A" w:rsidP="5068B82A">
            <w:pPr>
              <w:jc w:val="center"/>
              <w:rPr>
                <w:rFonts w:ascii="Calibri" w:eastAsia="Calibri" w:hAnsi="Calibri" w:cs="Calibri"/>
              </w:rPr>
            </w:pPr>
            <w:r>
              <w:t xml:space="preserve"> Count of hours</w:t>
            </w:r>
          </w:p>
        </w:tc>
      </w:tr>
    </w:tbl>
    <w:p w14:paraId="079F7398" w14:textId="78BFBD9C" w:rsidR="005E01BA" w:rsidRDefault="005E01BA" w:rsidP="5068B82A"/>
    <w:p w14:paraId="0BF515C4" w14:textId="492B61BC" w:rsidR="00A36391" w:rsidRDefault="0084271F" w:rsidP="00543317">
      <w:pPr>
        <w:pStyle w:val="ListParagraph"/>
        <w:keepNext/>
        <w:numPr>
          <w:ilvl w:val="0"/>
          <w:numId w:val="10"/>
        </w:numPr>
        <w:ind w:left="357" w:hanging="357"/>
        <w:rPr>
          <w:b/>
          <w:bCs/>
        </w:rPr>
      </w:pPr>
      <w:r w:rsidRPr="0084271F">
        <w:rPr>
          <w:b/>
          <w:bCs/>
        </w:rPr>
        <w:lastRenderedPageBreak/>
        <w:t>REFERENCES</w:t>
      </w:r>
    </w:p>
    <w:sdt>
      <w:sdtPr>
        <w:rPr>
          <w:b/>
          <w:bCs/>
        </w:rPr>
        <w:tag w:val="MENDELEY_BIBLIOGRAPHY"/>
        <w:id w:val="-1819957128"/>
        <w:placeholder>
          <w:docPart w:val="DefaultPlaceholder_-1854013440"/>
        </w:placeholder>
      </w:sdtPr>
      <w:sdtContent>
        <w:p w14:paraId="6050F33F" w14:textId="77777777" w:rsidR="008F7074" w:rsidRDefault="008F7074">
          <w:pPr>
            <w:divId w:val="816341155"/>
            <w:rPr>
              <w:rFonts w:eastAsia="Times New Roman"/>
              <w:sz w:val="24"/>
              <w:szCs w:val="24"/>
            </w:rPr>
          </w:pPr>
          <w:r>
            <w:rPr>
              <w:rFonts w:eastAsia="Times New Roman"/>
            </w:rPr>
            <w:t xml:space="preserve">Harrison, G. and Bennett, A.: Electricity measurements, in: Handbook of Atmospheric Measurements, edited by: </w:t>
          </w:r>
          <w:proofErr w:type="spellStart"/>
          <w:r>
            <w:rPr>
              <w:rFonts w:eastAsia="Times New Roman"/>
            </w:rPr>
            <w:t>Foken</w:t>
          </w:r>
          <w:proofErr w:type="spellEnd"/>
          <w:r>
            <w:rPr>
              <w:rFonts w:eastAsia="Times New Roman"/>
            </w:rPr>
            <w:t>, T., Springer Nature, Switzerland, 431–456, 2022.</w:t>
          </w:r>
        </w:p>
        <w:p w14:paraId="1C909360" w14:textId="77777777" w:rsidR="008F7074" w:rsidRDefault="008F7074">
          <w:pPr>
            <w:divId w:val="1649167109"/>
            <w:rPr>
              <w:rFonts w:eastAsia="Times New Roman"/>
            </w:rPr>
          </w:pPr>
          <w:r>
            <w:rPr>
              <w:rFonts w:eastAsia="Times New Roman"/>
            </w:rPr>
            <w:t xml:space="preserve">Harrison, R. G.: Twentieth-century atmospheric electrical measurements at the observatories of Kew, </w:t>
          </w:r>
          <w:proofErr w:type="spellStart"/>
          <w:r>
            <w:rPr>
              <w:rFonts w:eastAsia="Times New Roman"/>
            </w:rPr>
            <w:t>Eskdalemuir</w:t>
          </w:r>
          <w:proofErr w:type="spellEnd"/>
          <w:r>
            <w:rPr>
              <w:rFonts w:eastAsia="Times New Roman"/>
            </w:rPr>
            <w:t xml:space="preserve"> and Lerwick, Weather, 58, 11–19, https://doi.org/10.1256/wea.239.01, 2003.</w:t>
          </w:r>
        </w:p>
        <w:p w14:paraId="71729B65" w14:textId="77777777" w:rsidR="008F7074" w:rsidRDefault="008F7074">
          <w:pPr>
            <w:divId w:val="461653364"/>
            <w:rPr>
              <w:rFonts w:eastAsia="Times New Roman"/>
            </w:rPr>
          </w:pPr>
          <w:r>
            <w:rPr>
              <w:rFonts w:eastAsia="Times New Roman"/>
            </w:rPr>
            <w:t>Harrison, R. G. and Nicoll, K. A.: Air-earth current density measurements at Lerwick; implications for seasonality in the global electric circuit, Atmos Res, 89, 181–193, https://doi.org/10.1016/j.atmosres.2008.01.008, 2008.</w:t>
          </w:r>
        </w:p>
        <w:p w14:paraId="54C06382" w14:textId="77777777" w:rsidR="008F7074" w:rsidRDefault="008F7074">
          <w:pPr>
            <w:divId w:val="555236244"/>
            <w:rPr>
              <w:rFonts w:eastAsia="Times New Roman"/>
            </w:rPr>
          </w:pPr>
          <w:r>
            <w:rPr>
              <w:rFonts w:eastAsia="Times New Roman"/>
            </w:rPr>
            <w:t>Harrison, R. G. and Nicoll, K. A.: Fair weather criteria for atmospheric electricity measurements, J Atmos Sol Terr Phys, 179, 239–250, https://doi.org/10.1016/j.jastp.2018.07.008, 2018.</w:t>
          </w:r>
        </w:p>
        <w:p w14:paraId="73B648C4" w14:textId="77777777" w:rsidR="008F7074" w:rsidRDefault="008F7074">
          <w:pPr>
            <w:divId w:val="878665619"/>
            <w:rPr>
              <w:rFonts w:eastAsia="Times New Roman"/>
            </w:rPr>
          </w:pPr>
          <w:r w:rsidRPr="773C6C21">
            <w:rPr>
              <w:rFonts w:eastAsia="Times New Roman"/>
            </w:rPr>
            <w:t>Harrison, R. G. and Riddick, J. C.: Atmospheric electricity observations at Lerwick Geophysical Observatory, Hist. Geo Space. Sci, 13, 133–146, https://doi.org/10.5194/hgss-13-133-2022, 2022.</w:t>
          </w:r>
        </w:p>
        <w:p w14:paraId="75B9EC2B" w14:textId="16D95D18" w:rsidR="11A399D3" w:rsidRDefault="11A399D3" w:rsidP="773C6C21">
          <w:pPr>
            <w:rPr>
              <w:rFonts w:ascii="Calibri" w:eastAsia="Calibri" w:hAnsi="Calibri" w:cs="Calibri"/>
            </w:rPr>
          </w:pPr>
          <w:r w:rsidRPr="773C6C21">
            <w:rPr>
              <w:rFonts w:ascii="Calibri" w:eastAsia="Calibri" w:hAnsi="Calibri" w:cs="Calibri"/>
            </w:rPr>
            <w:t>Giles Harrison, Keri Nicoll, Hripsime Mkrtchyan (2023): Lerwick Observatory monthly mean Potential Gradient 1925-1984. University of Reading.</w:t>
          </w:r>
        </w:p>
        <w:p w14:paraId="5C645160" w14:textId="33127F8A" w:rsidR="00842A62" w:rsidRPr="00842A62" w:rsidRDefault="008F7074" w:rsidP="00842A62">
          <w:pPr>
            <w:rPr>
              <w:b/>
              <w:bCs/>
            </w:rPr>
          </w:pPr>
          <w:r>
            <w:rPr>
              <w:rFonts w:eastAsia="Times New Roman"/>
            </w:rPr>
            <w:t> </w:t>
          </w:r>
        </w:p>
      </w:sdtContent>
    </w:sdt>
    <w:sectPr w:rsidR="00842A62" w:rsidRPr="00842A62">
      <w:footerReference w:type="default" r:id="rId16"/>
      <w:pgSz w:w="11906" w:h="16838"/>
      <w:pgMar w:top="1440" w:right="119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77A05" w14:textId="77777777" w:rsidR="005171B2" w:rsidRDefault="005171B2" w:rsidP="00B46D46">
      <w:pPr>
        <w:spacing w:after="0" w:line="240" w:lineRule="auto"/>
      </w:pPr>
      <w:r>
        <w:separator/>
      </w:r>
    </w:p>
  </w:endnote>
  <w:endnote w:type="continuationSeparator" w:id="0">
    <w:p w14:paraId="4241006B" w14:textId="77777777" w:rsidR="005171B2" w:rsidRDefault="005171B2" w:rsidP="00B46D46">
      <w:pPr>
        <w:spacing w:after="0" w:line="240" w:lineRule="auto"/>
      </w:pPr>
      <w:r>
        <w:continuationSeparator/>
      </w:r>
    </w:p>
  </w:endnote>
  <w:endnote w:type="continuationNotice" w:id="1">
    <w:p w14:paraId="41A281A0" w14:textId="77777777" w:rsidR="005171B2" w:rsidRDefault="00517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1778"/>
      <w:docPartObj>
        <w:docPartGallery w:val="Page Numbers (Bottom of Page)"/>
        <w:docPartUnique/>
      </w:docPartObj>
    </w:sdtPr>
    <w:sdtEndPr>
      <w:rPr>
        <w:noProof/>
      </w:rPr>
    </w:sdtEndPr>
    <w:sdtContent>
      <w:p w14:paraId="29832872" w14:textId="77777777" w:rsidR="00272C3C" w:rsidRDefault="00272C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B3657F" w14:textId="77777777" w:rsidR="00272C3C" w:rsidRDefault="00272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1C775" w14:textId="77777777" w:rsidR="005171B2" w:rsidRDefault="005171B2" w:rsidP="00B46D46">
      <w:pPr>
        <w:spacing w:after="0" w:line="240" w:lineRule="auto"/>
      </w:pPr>
      <w:r>
        <w:separator/>
      </w:r>
    </w:p>
  </w:footnote>
  <w:footnote w:type="continuationSeparator" w:id="0">
    <w:p w14:paraId="12CF3D3B" w14:textId="77777777" w:rsidR="005171B2" w:rsidRDefault="005171B2" w:rsidP="00B46D46">
      <w:pPr>
        <w:spacing w:after="0" w:line="240" w:lineRule="auto"/>
      </w:pPr>
      <w:r>
        <w:continuationSeparator/>
      </w:r>
    </w:p>
  </w:footnote>
  <w:footnote w:type="continuationNotice" w:id="1">
    <w:p w14:paraId="70244D71" w14:textId="77777777" w:rsidR="005171B2" w:rsidRDefault="005171B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75DD"/>
    <w:multiLevelType w:val="hybridMultilevel"/>
    <w:tmpl w:val="C0309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21E4E"/>
    <w:multiLevelType w:val="hybridMultilevel"/>
    <w:tmpl w:val="25BAAAA0"/>
    <w:lvl w:ilvl="0" w:tplc="A82662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050AA"/>
    <w:multiLevelType w:val="hybridMultilevel"/>
    <w:tmpl w:val="55E21F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3C351D"/>
    <w:multiLevelType w:val="hybridMultilevel"/>
    <w:tmpl w:val="55E21F76"/>
    <w:lvl w:ilvl="0" w:tplc="6CC06E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A2EB9"/>
    <w:multiLevelType w:val="hybridMultilevel"/>
    <w:tmpl w:val="B5142EDA"/>
    <w:lvl w:ilvl="0" w:tplc="1750CA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30D7D"/>
    <w:multiLevelType w:val="hybridMultilevel"/>
    <w:tmpl w:val="6FD6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8115E"/>
    <w:multiLevelType w:val="multilevel"/>
    <w:tmpl w:val="6E1239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790B0A"/>
    <w:multiLevelType w:val="multilevel"/>
    <w:tmpl w:val="6E1239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A93151"/>
    <w:multiLevelType w:val="hybridMultilevel"/>
    <w:tmpl w:val="642A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B1AF7"/>
    <w:multiLevelType w:val="hybridMultilevel"/>
    <w:tmpl w:val="3B56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487633"/>
    <w:multiLevelType w:val="hybridMultilevel"/>
    <w:tmpl w:val="2C82EF22"/>
    <w:lvl w:ilvl="0" w:tplc="EE944D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E26A0D"/>
    <w:multiLevelType w:val="hybridMultilevel"/>
    <w:tmpl w:val="F86497FE"/>
    <w:lvl w:ilvl="0" w:tplc="FE2699C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F017A8A"/>
    <w:multiLevelType w:val="hybridMultilevel"/>
    <w:tmpl w:val="B4AEF526"/>
    <w:lvl w:ilvl="0" w:tplc="E0D61C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3A5A0B"/>
    <w:multiLevelType w:val="hybridMultilevel"/>
    <w:tmpl w:val="839C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786553"/>
    <w:multiLevelType w:val="hybridMultilevel"/>
    <w:tmpl w:val="FC4C7BA8"/>
    <w:lvl w:ilvl="0" w:tplc="21FAD36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F8906B8"/>
    <w:multiLevelType w:val="hybridMultilevel"/>
    <w:tmpl w:val="C276CB7C"/>
    <w:lvl w:ilvl="0" w:tplc="5526F6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477833">
    <w:abstractNumId w:val="11"/>
  </w:num>
  <w:num w:numId="2" w16cid:durableId="916594310">
    <w:abstractNumId w:val="12"/>
  </w:num>
  <w:num w:numId="3" w16cid:durableId="170681929">
    <w:abstractNumId w:val="0"/>
  </w:num>
  <w:num w:numId="4" w16cid:durableId="1497377582">
    <w:abstractNumId w:val="13"/>
  </w:num>
  <w:num w:numId="5" w16cid:durableId="1523670112">
    <w:abstractNumId w:val="3"/>
  </w:num>
  <w:num w:numId="6" w16cid:durableId="209270997">
    <w:abstractNumId w:val="2"/>
  </w:num>
  <w:num w:numId="7" w16cid:durableId="1953705852">
    <w:abstractNumId w:val="5"/>
  </w:num>
  <w:num w:numId="8" w16cid:durableId="517694442">
    <w:abstractNumId w:val="9"/>
  </w:num>
  <w:num w:numId="9" w16cid:durableId="1965961896">
    <w:abstractNumId w:val="10"/>
  </w:num>
  <w:num w:numId="10" w16cid:durableId="502740403">
    <w:abstractNumId w:val="6"/>
  </w:num>
  <w:num w:numId="11" w16cid:durableId="190846516">
    <w:abstractNumId w:val="1"/>
  </w:num>
  <w:num w:numId="12" w16cid:durableId="1502811383">
    <w:abstractNumId w:val="15"/>
  </w:num>
  <w:num w:numId="13" w16cid:durableId="586155583">
    <w:abstractNumId w:val="4"/>
  </w:num>
  <w:num w:numId="14" w16cid:durableId="1201749542">
    <w:abstractNumId w:val="7"/>
  </w:num>
  <w:num w:numId="15" w16cid:durableId="259215562">
    <w:abstractNumId w:val="8"/>
  </w:num>
  <w:num w:numId="16" w16cid:durableId="12705070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7C"/>
    <w:rsid w:val="0000408A"/>
    <w:rsid w:val="00005BD6"/>
    <w:rsid w:val="00006095"/>
    <w:rsid w:val="00006FE7"/>
    <w:rsid w:val="000071EE"/>
    <w:rsid w:val="00007A6F"/>
    <w:rsid w:val="000108C7"/>
    <w:rsid w:val="00012A9E"/>
    <w:rsid w:val="00017492"/>
    <w:rsid w:val="00023C42"/>
    <w:rsid w:val="00025904"/>
    <w:rsid w:val="0003138D"/>
    <w:rsid w:val="0003226F"/>
    <w:rsid w:val="000349D7"/>
    <w:rsid w:val="00037B6E"/>
    <w:rsid w:val="00040C2F"/>
    <w:rsid w:val="000416C6"/>
    <w:rsid w:val="0004556F"/>
    <w:rsid w:val="00045D52"/>
    <w:rsid w:val="0004A46D"/>
    <w:rsid w:val="00050E21"/>
    <w:rsid w:val="00050F48"/>
    <w:rsid w:val="00054368"/>
    <w:rsid w:val="00067382"/>
    <w:rsid w:val="000713A3"/>
    <w:rsid w:val="00071488"/>
    <w:rsid w:val="00071843"/>
    <w:rsid w:val="00072E1D"/>
    <w:rsid w:val="00076F6F"/>
    <w:rsid w:val="000830FE"/>
    <w:rsid w:val="0008620D"/>
    <w:rsid w:val="00086F67"/>
    <w:rsid w:val="0009122F"/>
    <w:rsid w:val="00092EF1"/>
    <w:rsid w:val="00094C0F"/>
    <w:rsid w:val="00097B2B"/>
    <w:rsid w:val="000A14C2"/>
    <w:rsid w:val="000A1936"/>
    <w:rsid w:val="000A5693"/>
    <w:rsid w:val="000A7469"/>
    <w:rsid w:val="000A74A9"/>
    <w:rsid w:val="000A7E42"/>
    <w:rsid w:val="000B0EB2"/>
    <w:rsid w:val="000B4345"/>
    <w:rsid w:val="000B6E38"/>
    <w:rsid w:val="000B7E0A"/>
    <w:rsid w:val="000C1832"/>
    <w:rsid w:val="000C4435"/>
    <w:rsid w:val="000C738B"/>
    <w:rsid w:val="000D3298"/>
    <w:rsid w:val="000E0F31"/>
    <w:rsid w:val="000E4D53"/>
    <w:rsid w:val="000F04E4"/>
    <w:rsid w:val="000F11FC"/>
    <w:rsid w:val="000F3426"/>
    <w:rsid w:val="000F42A7"/>
    <w:rsid w:val="000F6265"/>
    <w:rsid w:val="000F7567"/>
    <w:rsid w:val="00100567"/>
    <w:rsid w:val="001018FE"/>
    <w:rsid w:val="00101E1C"/>
    <w:rsid w:val="00102723"/>
    <w:rsid w:val="00104E8B"/>
    <w:rsid w:val="00105427"/>
    <w:rsid w:val="001109D7"/>
    <w:rsid w:val="0011350A"/>
    <w:rsid w:val="001145E0"/>
    <w:rsid w:val="00121E24"/>
    <w:rsid w:val="00124BA8"/>
    <w:rsid w:val="00125976"/>
    <w:rsid w:val="00125DA6"/>
    <w:rsid w:val="001261AB"/>
    <w:rsid w:val="001308C3"/>
    <w:rsid w:val="0013225A"/>
    <w:rsid w:val="0013577E"/>
    <w:rsid w:val="00135915"/>
    <w:rsid w:val="0014019F"/>
    <w:rsid w:val="0014223F"/>
    <w:rsid w:val="001424BC"/>
    <w:rsid w:val="00142F25"/>
    <w:rsid w:val="00143022"/>
    <w:rsid w:val="00144C07"/>
    <w:rsid w:val="00145258"/>
    <w:rsid w:val="001454B2"/>
    <w:rsid w:val="0014688B"/>
    <w:rsid w:val="00146D08"/>
    <w:rsid w:val="00152077"/>
    <w:rsid w:val="001548A5"/>
    <w:rsid w:val="001621FA"/>
    <w:rsid w:val="00164B5E"/>
    <w:rsid w:val="001652C6"/>
    <w:rsid w:val="001704FC"/>
    <w:rsid w:val="00171893"/>
    <w:rsid w:val="001722BF"/>
    <w:rsid w:val="0017435E"/>
    <w:rsid w:val="00174D56"/>
    <w:rsid w:val="00176521"/>
    <w:rsid w:val="0018050D"/>
    <w:rsid w:val="0018051D"/>
    <w:rsid w:val="001824B7"/>
    <w:rsid w:val="00182EF8"/>
    <w:rsid w:val="00183454"/>
    <w:rsid w:val="00183A70"/>
    <w:rsid w:val="00184FAD"/>
    <w:rsid w:val="00185F8A"/>
    <w:rsid w:val="0019102C"/>
    <w:rsid w:val="0019178E"/>
    <w:rsid w:val="00192F31"/>
    <w:rsid w:val="001938D4"/>
    <w:rsid w:val="00195ABF"/>
    <w:rsid w:val="00195E72"/>
    <w:rsid w:val="00196CAF"/>
    <w:rsid w:val="001A3CFA"/>
    <w:rsid w:val="001A7F5E"/>
    <w:rsid w:val="001A7FEA"/>
    <w:rsid w:val="001B3B8D"/>
    <w:rsid w:val="001B6DC6"/>
    <w:rsid w:val="001C1FE2"/>
    <w:rsid w:val="001C2467"/>
    <w:rsid w:val="001C2F3D"/>
    <w:rsid w:val="001C48BB"/>
    <w:rsid w:val="001C6582"/>
    <w:rsid w:val="001D20DD"/>
    <w:rsid w:val="001E209B"/>
    <w:rsid w:val="001E2270"/>
    <w:rsid w:val="001E32F1"/>
    <w:rsid w:val="001E3E5E"/>
    <w:rsid w:val="001E4064"/>
    <w:rsid w:val="001E55B6"/>
    <w:rsid w:val="001E5A61"/>
    <w:rsid w:val="001F16EC"/>
    <w:rsid w:val="001F2A4E"/>
    <w:rsid w:val="001F3F5E"/>
    <w:rsid w:val="001F480D"/>
    <w:rsid w:val="001F6285"/>
    <w:rsid w:val="00200F5F"/>
    <w:rsid w:val="00201025"/>
    <w:rsid w:val="00205CB5"/>
    <w:rsid w:val="00206C49"/>
    <w:rsid w:val="00210D85"/>
    <w:rsid w:val="00214760"/>
    <w:rsid w:val="00215085"/>
    <w:rsid w:val="00215CE1"/>
    <w:rsid w:val="00220290"/>
    <w:rsid w:val="00221225"/>
    <w:rsid w:val="00224B91"/>
    <w:rsid w:val="00226CF9"/>
    <w:rsid w:val="00230A50"/>
    <w:rsid w:val="0023265D"/>
    <w:rsid w:val="00234346"/>
    <w:rsid w:val="002347BD"/>
    <w:rsid w:val="00234820"/>
    <w:rsid w:val="0023785A"/>
    <w:rsid w:val="002406F3"/>
    <w:rsid w:val="00240B0E"/>
    <w:rsid w:val="002430A7"/>
    <w:rsid w:val="00244C2E"/>
    <w:rsid w:val="00245983"/>
    <w:rsid w:val="00247056"/>
    <w:rsid w:val="0025074E"/>
    <w:rsid w:val="00256AED"/>
    <w:rsid w:val="002579AD"/>
    <w:rsid w:val="00262007"/>
    <w:rsid w:val="002623B8"/>
    <w:rsid w:val="00262EC5"/>
    <w:rsid w:val="00263934"/>
    <w:rsid w:val="002711A0"/>
    <w:rsid w:val="002721BE"/>
    <w:rsid w:val="00272C3C"/>
    <w:rsid w:val="00277A3F"/>
    <w:rsid w:val="00280496"/>
    <w:rsid w:val="00280C91"/>
    <w:rsid w:val="00281604"/>
    <w:rsid w:val="00286281"/>
    <w:rsid w:val="002900B6"/>
    <w:rsid w:val="002905BF"/>
    <w:rsid w:val="00291464"/>
    <w:rsid w:val="00291BBC"/>
    <w:rsid w:val="00291DF5"/>
    <w:rsid w:val="002A6134"/>
    <w:rsid w:val="002B2CC1"/>
    <w:rsid w:val="002B55B0"/>
    <w:rsid w:val="002B7368"/>
    <w:rsid w:val="002B7604"/>
    <w:rsid w:val="002C0EF1"/>
    <w:rsid w:val="002C3AC9"/>
    <w:rsid w:val="002C6B7C"/>
    <w:rsid w:val="002D2C64"/>
    <w:rsid w:val="002D356B"/>
    <w:rsid w:val="002D4858"/>
    <w:rsid w:val="002D7CF2"/>
    <w:rsid w:val="002E0347"/>
    <w:rsid w:val="002E6000"/>
    <w:rsid w:val="002F50EE"/>
    <w:rsid w:val="002F6929"/>
    <w:rsid w:val="0030174B"/>
    <w:rsid w:val="003060F4"/>
    <w:rsid w:val="00310FFF"/>
    <w:rsid w:val="003130B9"/>
    <w:rsid w:val="00315968"/>
    <w:rsid w:val="00316846"/>
    <w:rsid w:val="00317878"/>
    <w:rsid w:val="003304E0"/>
    <w:rsid w:val="0033179A"/>
    <w:rsid w:val="00331EEE"/>
    <w:rsid w:val="00337D38"/>
    <w:rsid w:val="003410D4"/>
    <w:rsid w:val="0034360B"/>
    <w:rsid w:val="00345648"/>
    <w:rsid w:val="00347C47"/>
    <w:rsid w:val="00347FA2"/>
    <w:rsid w:val="003506E6"/>
    <w:rsid w:val="00352DE8"/>
    <w:rsid w:val="00367CE2"/>
    <w:rsid w:val="00374EA1"/>
    <w:rsid w:val="00377264"/>
    <w:rsid w:val="0038043C"/>
    <w:rsid w:val="0038083A"/>
    <w:rsid w:val="00382EE6"/>
    <w:rsid w:val="00384697"/>
    <w:rsid w:val="00385D80"/>
    <w:rsid w:val="0038693A"/>
    <w:rsid w:val="00390E1D"/>
    <w:rsid w:val="00395DB6"/>
    <w:rsid w:val="00396346"/>
    <w:rsid w:val="00396C69"/>
    <w:rsid w:val="003A0A11"/>
    <w:rsid w:val="003A3071"/>
    <w:rsid w:val="003A4E4F"/>
    <w:rsid w:val="003A5832"/>
    <w:rsid w:val="003B15F0"/>
    <w:rsid w:val="003B2574"/>
    <w:rsid w:val="003B5536"/>
    <w:rsid w:val="003C4F50"/>
    <w:rsid w:val="003C548E"/>
    <w:rsid w:val="003C5BA8"/>
    <w:rsid w:val="003C6D11"/>
    <w:rsid w:val="003C6FF2"/>
    <w:rsid w:val="003C7AF0"/>
    <w:rsid w:val="003D0C08"/>
    <w:rsid w:val="003D199F"/>
    <w:rsid w:val="003D1CA1"/>
    <w:rsid w:val="003D1E40"/>
    <w:rsid w:val="003D29D2"/>
    <w:rsid w:val="003D4B7C"/>
    <w:rsid w:val="003D6304"/>
    <w:rsid w:val="003E0E92"/>
    <w:rsid w:val="003E2BE4"/>
    <w:rsid w:val="003E5367"/>
    <w:rsid w:val="003F41CA"/>
    <w:rsid w:val="003F425A"/>
    <w:rsid w:val="004029B4"/>
    <w:rsid w:val="00403769"/>
    <w:rsid w:val="004046AC"/>
    <w:rsid w:val="00405893"/>
    <w:rsid w:val="004068D8"/>
    <w:rsid w:val="00412614"/>
    <w:rsid w:val="00412D09"/>
    <w:rsid w:val="0041422D"/>
    <w:rsid w:val="004216E4"/>
    <w:rsid w:val="0042171B"/>
    <w:rsid w:val="00427B5D"/>
    <w:rsid w:val="00431476"/>
    <w:rsid w:val="00436B01"/>
    <w:rsid w:val="00436F45"/>
    <w:rsid w:val="0043793E"/>
    <w:rsid w:val="00440E17"/>
    <w:rsid w:val="0044147B"/>
    <w:rsid w:val="00441496"/>
    <w:rsid w:val="00442556"/>
    <w:rsid w:val="00442A2F"/>
    <w:rsid w:val="00445BDD"/>
    <w:rsid w:val="004464E8"/>
    <w:rsid w:val="00453324"/>
    <w:rsid w:val="00455AB5"/>
    <w:rsid w:val="00456F06"/>
    <w:rsid w:val="00457A84"/>
    <w:rsid w:val="00465337"/>
    <w:rsid w:val="00466BE5"/>
    <w:rsid w:val="0047050C"/>
    <w:rsid w:val="00472E3D"/>
    <w:rsid w:val="00473683"/>
    <w:rsid w:val="00473E51"/>
    <w:rsid w:val="00475D98"/>
    <w:rsid w:val="00477B1D"/>
    <w:rsid w:val="00481071"/>
    <w:rsid w:val="00481D93"/>
    <w:rsid w:val="004903BB"/>
    <w:rsid w:val="00492339"/>
    <w:rsid w:val="00494933"/>
    <w:rsid w:val="00495A05"/>
    <w:rsid w:val="004979A2"/>
    <w:rsid w:val="00497A0E"/>
    <w:rsid w:val="004A1753"/>
    <w:rsid w:val="004A3E2A"/>
    <w:rsid w:val="004A569E"/>
    <w:rsid w:val="004A5920"/>
    <w:rsid w:val="004A6764"/>
    <w:rsid w:val="004A78FD"/>
    <w:rsid w:val="004AA1E6"/>
    <w:rsid w:val="004B0000"/>
    <w:rsid w:val="004B0F1C"/>
    <w:rsid w:val="004B1883"/>
    <w:rsid w:val="004B4556"/>
    <w:rsid w:val="004B7455"/>
    <w:rsid w:val="004C2DE8"/>
    <w:rsid w:val="004C3081"/>
    <w:rsid w:val="004C4B6F"/>
    <w:rsid w:val="004D113C"/>
    <w:rsid w:val="004D6A86"/>
    <w:rsid w:val="004E0C58"/>
    <w:rsid w:val="004E3D6C"/>
    <w:rsid w:val="004E3FA2"/>
    <w:rsid w:val="004E49B8"/>
    <w:rsid w:val="004E7E35"/>
    <w:rsid w:val="004F38D9"/>
    <w:rsid w:val="004F3A8A"/>
    <w:rsid w:val="004F5428"/>
    <w:rsid w:val="0050012E"/>
    <w:rsid w:val="00503525"/>
    <w:rsid w:val="005038FD"/>
    <w:rsid w:val="00504F4B"/>
    <w:rsid w:val="0051427C"/>
    <w:rsid w:val="00515E84"/>
    <w:rsid w:val="005171B2"/>
    <w:rsid w:val="005177D8"/>
    <w:rsid w:val="00521504"/>
    <w:rsid w:val="00530001"/>
    <w:rsid w:val="00530146"/>
    <w:rsid w:val="0053291F"/>
    <w:rsid w:val="00534DE4"/>
    <w:rsid w:val="005350F6"/>
    <w:rsid w:val="0053770F"/>
    <w:rsid w:val="00543317"/>
    <w:rsid w:val="005501FF"/>
    <w:rsid w:val="00551C24"/>
    <w:rsid w:val="005530E7"/>
    <w:rsid w:val="0055442D"/>
    <w:rsid w:val="00554692"/>
    <w:rsid w:val="005566E8"/>
    <w:rsid w:val="005578AE"/>
    <w:rsid w:val="00561E18"/>
    <w:rsid w:val="005630EE"/>
    <w:rsid w:val="00563AD5"/>
    <w:rsid w:val="00564BF2"/>
    <w:rsid w:val="0056711A"/>
    <w:rsid w:val="00571319"/>
    <w:rsid w:val="00573F76"/>
    <w:rsid w:val="00574845"/>
    <w:rsid w:val="005809EE"/>
    <w:rsid w:val="00582845"/>
    <w:rsid w:val="00583753"/>
    <w:rsid w:val="005845F2"/>
    <w:rsid w:val="00584D23"/>
    <w:rsid w:val="00586B75"/>
    <w:rsid w:val="005878AC"/>
    <w:rsid w:val="00593478"/>
    <w:rsid w:val="005A0B0C"/>
    <w:rsid w:val="005A5C55"/>
    <w:rsid w:val="005A7A05"/>
    <w:rsid w:val="005B02DF"/>
    <w:rsid w:val="005B3F6D"/>
    <w:rsid w:val="005B4334"/>
    <w:rsid w:val="005B5FE7"/>
    <w:rsid w:val="005B6B25"/>
    <w:rsid w:val="005B7F0B"/>
    <w:rsid w:val="005C1BCE"/>
    <w:rsid w:val="005C62ED"/>
    <w:rsid w:val="005D0D26"/>
    <w:rsid w:val="005D220C"/>
    <w:rsid w:val="005D26CD"/>
    <w:rsid w:val="005D29F6"/>
    <w:rsid w:val="005D4CB9"/>
    <w:rsid w:val="005D5710"/>
    <w:rsid w:val="005E01BA"/>
    <w:rsid w:val="005E0FB7"/>
    <w:rsid w:val="005E1336"/>
    <w:rsid w:val="005E1B33"/>
    <w:rsid w:val="005E3253"/>
    <w:rsid w:val="005E3D1B"/>
    <w:rsid w:val="005E3D54"/>
    <w:rsid w:val="005E6030"/>
    <w:rsid w:val="005F719C"/>
    <w:rsid w:val="006013CC"/>
    <w:rsid w:val="00602900"/>
    <w:rsid w:val="00605727"/>
    <w:rsid w:val="00606C78"/>
    <w:rsid w:val="0060748F"/>
    <w:rsid w:val="00611311"/>
    <w:rsid w:val="00612541"/>
    <w:rsid w:val="0061327C"/>
    <w:rsid w:val="006135AB"/>
    <w:rsid w:val="00613D1F"/>
    <w:rsid w:val="00614771"/>
    <w:rsid w:val="006201DD"/>
    <w:rsid w:val="00623464"/>
    <w:rsid w:val="00623E2D"/>
    <w:rsid w:val="0062631B"/>
    <w:rsid w:val="006270D5"/>
    <w:rsid w:val="00627E3C"/>
    <w:rsid w:val="0063153C"/>
    <w:rsid w:val="0063479E"/>
    <w:rsid w:val="00635EF4"/>
    <w:rsid w:val="00637664"/>
    <w:rsid w:val="00640E81"/>
    <w:rsid w:val="0064205A"/>
    <w:rsid w:val="00645F6D"/>
    <w:rsid w:val="006540C6"/>
    <w:rsid w:val="00661927"/>
    <w:rsid w:val="00664D1B"/>
    <w:rsid w:val="006655FD"/>
    <w:rsid w:val="006666E4"/>
    <w:rsid w:val="0067305F"/>
    <w:rsid w:val="00674148"/>
    <w:rsid w:val="00674BE2"/>
    <w:rsid w:val="00675267"/>
    <w:rsid w:val="006759B3"/>
    <w:rsid w:val="006778AD"/>
    <w:rsid w:val="0068065F"/>
    <w:rsid w:val="00680D53"/>
    <w:rsid w:val="006822B5"/>
    <w:rsid w:val="006917E2"/>
    <w:rsid w:val="00695CB6"/>
    <w:rsid w:val="006968DD"/>
    <w:rsid w:val="00697B98"/>
    <w:rsid w:val="006A2B17"/>
    <w:rsid w:val="006A2BD7"/>
    <w:rsid w:val="006A582F"/>
    <w:rsid w:val="006A67C5"/>
    <w:rsid w:val="006AF652"/>
    <w:rsid w:val="006B68FB"/>
    <w:rsid w:val="006B7CD7"/>
    <w:rsid w:val="006B7E97"/>
    <w:rsid w:val="006C0411"/>
    <w:rsid w:val="006C222B"/>
    <w:rsid w:val="006C299C"/>
    <w:rsid w:val="006C371B"/>
    <w:rsid w:val="006C46A7"/>
    <w:rsid w:val="006D381C"/>
    <w:rsid w:val="006D6256"/>
    <w:rsid w:val="006E2FF4"/>
    <w:rsid w:val="006F47BD"/>
    <w:rsid w:val="006F6AF5"/>
    <w:rsid w:val="006F6BD0"/>
    <w:rsid w:val="006F6DCA"/>
    <w:rsid w:val="006F74EC"/>
    <w:rsid w:val="007014DC"/>
    <w:rsid w:val="00703DD0"/>
    <w:rsid w:val="00706D8E"/>
    <w:rsid w:val="00707EE6"/>
    <w:rsid w:val="0071123D"/>
    <w:rsid w:val="007151A0"/>
    <w:rsid w:val="00715A1A"/>
    <w:rsid w:val="00721F92"/>
    <w:rsid w:val="00722047"/>
    <w:rsid w:val="00722405"/>
    <w:rsid w:val="007235D5"/>
    <w:rsid w:val="00724058"/>
    <w:rsid w:val="00725180"/>
    <w:rsid w:val="007262D3"/>
    <w:rsid w:val="00727509"/>
    <w:rsid w:val="00732BA3"/>
    <w:rsid w:val="00733219"/>
    <w:rsid w:val="007347E9"/>
    <w:rsid w:val="00735323"/>
    <w:rsid w:val="00736B66"/>
    <w:rsid w:val="00737B95"/>
    <w:rsid w:val="007408A6"/>
    <w:rsid w:val="0074269C"/>
    <w:rsid w:val="00744139"/>
    <w:rsid w:val="00746616"/>
    <w:rsid w:val="007470B1"/>
    <w:rsid w:val="0074777D"/>
    <w:rsid w:val="00747EAA"/>
    <w:rsid w:val="00752E19"/>
    <w:rsid w:val="00754C89"/>
    <w:rsid w:val="00755985"/>
    <w:rsid w:val="00756B27"/>
    <w:rsid w:val="00756D7D"/>
    <w:rsid w:val="0075701E"/>
    <w:rsid w:val="00757D6B"/>
    <w:rsid w:val="00764310"/>
    <w:rsid w:val="00764CEA"/>
    <w:rsid w:val="00772E24"/>
    <w:rsid w:val="007734AA"/>
    <w:rsid w:val="00773896"/>
    <w:rsid w:val="0077712C"/>
    <w:rsid w:val="00781AE3"/>
    <w:rsid w:val="00790634"/>
    <w:rsid w:val="00791D1B"/>
    <w:rsid w:val="00792165"/>
    <w:rsid w:val="00792A45"/>
    <w:rsid w:val="0079320E"/>
    <w:rsid w:val="007A0752"/>
    <w:rsid w:val="007A1ADC"/>
    <w:rsid w:val="007A6398"/>
    <w:rsid w:val="007B3F37"/>
    <w:rsid w:val="007B606D"/>
    <w:rsid w:val="007C0284"/>
    <w:rsid w:val="007D35CB"/>
    <w:rsid w:val="007D4E35"/>
    <w:rsid w:val="007E02EF"/>
    <w:rsid w:val="007E0E36"/>
    <w:rsid w:val="007E557B"/>
    <w:rsid w:val="007E6AF9"/>
    <w:rsid w:val="007F418D"/>
    <w:rsid w:val="007F51FB"/>
    <w:rsid w:val="007F5E64"/>
    <w:rsid w:val="008009D6"/>
    <w:rsid w:val="0080429F"/>
    <w:rsid w:val="00811BFF"/>
    <w:rsid w:val="00811C01"/>
    <w:rsid w:val="0081323C"/>
    <w:rsid w:val="008152D4"/>
    <w:rsid w:val="00815B34"/>
    <w:rsid w:val="00815B8E"/>
    <w:rsid w:val="008164ED"/>
    <w:rsid w:val="00822788"/>
    <w:rsid w:val="00823DBC"/>
    <w:rsid w:val="008259FA"/>
    <w:rsid w:val="00830257"/>
    <w:rsid w:val="00831FD0"/>
    <w:rsid w:val="008347E5"/>
    <w:rsid w:val="00835705"/>
    <w:rsid w:val="0083604C"/>
    <w:rsid w:val="0084271F"/>
    <w:rsid w:val="00842A62"/>
    <w:rsid w:val="00843112"/>
    <w:rsid w:val="00845308"/>
    <w:rsid w:val="00847209"/>
    <w:rsid w:val="0085149F"/>
    <w:rsid w:val="0085404E"/>
    <w:rsid w:val="008541A1"/>
    <w:rsid w:val="00860D27"/>
    <w:rsid w:val="00860E8C"/>
    <w:rsid w:val="00861530"/>
    <w:rsid w:val="00865F90"/>
    <w:rsid w:val="008663C0"/>
    <w:rsid w:val="00870F07"/>
    <w:rsid w:val="008717A2"/>
    <w:rsid w:val="0087348B"/>
    <w:rsid w:val="008735C1"/>
    <w:rsid w:val="0087434E"/>
    <w:rsid w:val="00874520"/>
    <w:rsid w:val="0087617E"/>
    <w:rsid w:val="00876BEE"/>
    <w:rsid w:val="008855CA"/>
    <w:rsid w:val="008859D9"/>
    <w:rsid w:val="0088664B"/>
    <w:rsid w:val="00891587"/>
    <w:rsid w:val="008A6300"/>
    <w:rsid w:val="008B2236"/>
    <w:rsid w:val="008B719A"/>
    <w:rsid w:val="008B7B48"/>
    <w:rsid w:val="008C1962"/>
    <w:rsid w:val="008C42CD"/>
    <w:rsid w:val="008C4E31"/>
    <w:rsid w:val="008C5643"/>
    <w:rsid w:val="008C6D5B"/>
    <w:rsid w:val="008C6E15"/>
    <w:rsid w:val="008D003F"/>
    <w:rsid w:val="008D1B2E"/>
    <w:rsid w:val="008D2E6A"/>
    <w:rsid w:val="008D69B7"/>
    <w:rsid w:val="008D7727"/>
    <w:rsid w:val="008E0FCF"/>
    <w:rsid w:val="008E1E3B"/>
    <w:rsid w:val="008E4CCD"/>
    <w:rsid w:val="008E7957"/>
    <w:rsid w:val="008F06FA"/>
    <w:rsid w:val="008F443E"/>
    <w:rsid w:val="008F4818"/>
    <w:rsid w:val="008F52EB"/>
    <w:rsid w:val="008F63CC"/>
    <w:rsid w:val="008F7074"/>
    <w:rsid w:val="00904227"/>
    <w:rsid w:val="009045FE"/>
    <w:rsid w:val="00905CB5"/>
    <w:rsid w:val="0091063D"/>
    <w:rsid w:val="00912A8D"/>
    <w:rsid w:val="00913469"/>
    <w:rsid w:val="0091632A"/>
    <w:rsid w:val="00923205"/>
    <w:rsid w:val="00925408"/>
    <w:rsid w:val="00926194"/>
    <w:rsid w:val="00926DC2"/>
    <w:rsid w:val="00934320"/>
    <w:rsid w:val="009352C3"/>
    <w:rsid w:val="00944018"/>
    <w:rsid w:val="00945354"/>
    <w:rsid w:val="00945CAA"/>
    <w:rsid w:val="009465E9"/>
    <w:rsid w:val="009466A6"/>
    <w:rsid w:val="009516C0"/>
    <w:rsid w:val="00951B60"/>
    <w:rsid w:val="00952EE4"/>
    <w:rsid w:val="009558DC"/>
    <w:rsid w:val="00955A4C"/>
    <w:rsid w:val="00963DF6"/>
    <w:rsid w:val="00966D7B"/>
    <w:rsid w:val="00970B65"/>
    <w:rsid w:val="009764B7"/>
    <w:rsid w:val="00981FB7"/>
    <w:rsid w:val="00985B30"/>
    <w:rsid w:val="009865AB"/>
    <w:rsid w:val="0098748F"/>
    <w:rsid w:val="00987DA9"/>
    <w:rsid w:val="009900E4"/>
    <w:rsid w:val="0099255B"/>
    <w:rsid w:val="0099268D"/>
    <w:rsid w:val="00997E51"/>
    <w:rsid w:val="009A005D"/>
    <w:rsid w:val="009A0DDF"/>
    <w:rsid w:val="009A0DFF"/>
    <w:rsid w:val="009A2BC8"/>
    <w:rsid w:val="009A3AF2"/>
    <w:rsid w:val="009A3BEF"/>
    <w:rsid w:val="009A7B6A"/>
    <w:rsid w:val="009B1FC5"/>
    <w:rsid w:val="009B2958"/>
    <w:rsid w:val="009B2FFB"/>
    <w:rsid w:val="009B7D3E"/>
    <w:rsid w:val="009C143A"/>
    <w:rsid w:val="009C33B0"/>
    <w:rsid w:val="009D0D14"/>
    <w:rsid w:val="009D5D00"/>
    <w:rsid w:val="009D6765"/>
    <w:rsid w:val="009E0956"/>
    <w:rsid w:val="009E14F7"/>
    <w:rsid w:val="009E3152"/>
    <w:rsid w:val="009E7340"/>
    <w:rsid w:val="009F0866"/>
    <w:rsid w:val="009F263C"/>
    <w:rsid w:val="009F3E52"/>
    <w:rsid w:val="00A004AE"/>
    <w:rsid w:val="00A01B7B"/>
    <w:rsid w:val="00A11717"/>
    <w:rsid w:val="00A118D1"/>
    <w:rsid w:val="00A13205"/>
    <w:rsid w:val="00A1573C"/>
    <w:rsid w:val="00A23AD1"/>
    <w:rsid w:val="00A24B22"/>
    <w:rsid w:val="00A27C72"/>
    <w:rsid w:val="00A31A43"/>
    <w:rsid w:val="00A31D85"/>
    <w:rsid w:val="00A32A9B"/>
    <w:rsid w:val="00A33B08"/>
    <w:rsid w:val="00A33C03"/>
    <w:rsid w:val="00A35613"/>
    <w:rsid w:val="00A36391"/>
    <w:rsid w:val="00A369FE"/>
    <w:rsid w:val="00A36D6D"/>
    <w:rsid w:val="00A4449C"/>
    <w:rsid w:val="00A45176"/>
    <w:rsid w:val="00A45E9C"/>
    <w:rsid w:val="00A45F27"/>
    <w:rsid w:val="00A477E5"/>
    <w:rsid w:val="00A52319"/>
    <w:rsid w:val="00A56D44"/>
    <w:rsid w:val="00A71867"/>
    <w:rsid w:val="00A720A3"/>
    <w:rsid w:val="00A7388E"/>
    <w:rsid w:val="00A74F35"/>
    <w:rsid w:val="00A812F0"/>
    <w:rsid w:val="00A90F41"/>
    <w:rsid w:val="00A96033"/>
    <w:rsid w:val="00AA14C7"/>
    <w:rsid w:val="00AA1AFC"/>
    <w:rsid w:val="00AA1FC4"/>
    <w:rsid w:val="00AA2F86"/>
    <w:rsid w:val="00AA54E0"/>
    <w:rsid w:val="00AB16A3"/>
    <w:rsid w:val="00AB1D0F"/>
    <w:rsid w:val="00AB62EE"/>
    <w:rsid w:val="00AC1111"/>
    <w:rsid w:val="00AC45B0"/>
    <w:rsid w:val="00AC6405"/>
    <w:rsid w:val="00AD7788"/>
    <w:rsid w:val="00AE0033"/>
    <w:rsid w:val="00AE3052"/>
    <w:rsid w:val="00AF081B"/>
    <w:rsid w:val="00AF3A8B"/>
    <w:rsid w:val="00AF5AA2"/>
    <w:rsid w:val="00AF63C2"/>
    <w:rsid w:val="00AF6538"/>
    <w:rsid w:val="00AF684A"/>
    <w:rsid w:val="00AF7C47"/>
    <w:rsid w:val="00B03341"/>
    <w:rsid w:val="00B06AA6"/>
    <w:rsid w:val="00B1294B"/>
    <w:rsid w:val="00B15427"/>
    <w:rsid w:val="00B17683"/>
    <w:rsid w:val="00B2034F"/>
    <w:rsid w:val="00B22126"/>
    <w:rsid w:val="00B23013"/>
    <w:rsid w:val="00B23910"/>
    <w:rsid w:val="00B25A58"/>
    <w:rsid w:val="00B276ED"/>
    <w:rsid w:val="00B31904"/>
    <w:rsid w:val="00B34622"/>
    <w:rsid w:val="00B3573C"/>
    <w:rsid w:val="00B40872"/>
    <w:rsid w:val="00B40CBE"/>
    <w:rsid w:val="00B46D46"/>
    <w:rsid w:val="00B50BB5"/>
    <w:rsid w:val="00B52260"/>
    <w:rsid w:val="00B5227D"/>
    <w:rsid w:val="00B55DCF"/>
    <w:rsid w:val="00B56963"/>
    <w:rsid w:val="00B61C44"/>
    <w:rsid w:val="00B62194"/>
    <w:rsid w:val="00B63107"/>
    <w:rsid w:val="00B63C72"/>
    <w:rsid w:val="00B64B81"/>
    <w:rsid w:val="00B65DA8"/>
    <w:rsid w:val="00B65F74"/>
    <w:rsid w:val="00B67A2F"/>
    <w:rsid w:val="00B725DB"/>
    <w:rsid w:val="00B76F6E"/>
    <w:rsid w:val="00B816DB"/>
    <w:rsid w:val="00B82328"/>
    <w:rsid w:val="00B83253"/>
    <w:rsid w:val="00B83315"/>
    <w:rsid w:val="00B85970"/>
    <w:rsid w:val="00B92D47"/>
    <w:rsid w:val="00B97E5B"/>
    <w:rsid w:val="00BA2ACC"/>
    <w:rsid w:val="00BA4543"/>
    <w:rsid w:val="00BB09F7"/>
    <w:rsid w:val="00BB3CC0"/>
    <w:rsid w:val="00BB5A30"/>
    <w:rsid w:val="00BB602F"/>
    <w:rsid w:val="00BC417E"/>
    <w:rsid w:val="00BC46C6"/>
    <w:rsid w:val="00BD1553"/>
    <w:rsid w:val="00BD1F45"/>
    <w:rsid w:val="00BD2DC2"/>
    <w:rsid w:val="00BD4470"/>
    <w:rsid w:val="00BD56D8"/>
    <w:rsid w:val="00BE2C66"/>
    <w:rsid w:val="00BE6249"/>
    <w:rsid w:val="00BF4764"/>
    <w:rsid w:val="00C12042"/>
    <w:rsid w:val="00C15632"/>
    <w:rsid w:val="00C238C9"/>
    <w:rsid w:val="00C274EE"/>
    <w:rsid w:val="00C315FD"/>
    <w:rsid w:val="00C350D4"/>
    <w:rsid w:val="00C40F19"/>
    <w:rsid w:val="00C43C53"/>
    <w:rsid w:val="00C463F2"/>
    <w:rsid w:val="00C46F18"/>
    <w:rsid w:val="00C55A75"/>
    <w:rsid w:val="00C55B6B"/>
    <w:rsid w:val="00C64335"/>
    <w:rsid w:val="00C65DB9"/>
    <w:rsid w:val="00C66887"/>
    <w:rsid w:val="00C714EA"/>
    <w:rsid w:val="00C72151"/>
    <w:rsid w:val="00C72537"/>
    <w:rsid w:val="00C80218"/>
    <w:rsid w:val="00C82186"/>
    <w:rsid w:val="00C826CB"/>
    <w:rsid w:val="00C85746"/>
    <w:rsid w:val="00C86383"/>
    <w:rsid w:val="00C92F2E"/>
    <w:rsid w:val="00CB2AEA"/>
    <w:rsid w:val="00CB2C06"/>
    <w:rsid w:val="00CB3814"/>
    <w:rsid w:val="00CB3CAD"/>
    <w:rsid w:val="00CC67BD"/>
    <w:rsid w:val="00CC6BDD"/>
    <w:rsid w:val="00CC7A49"/>
    <w:rsid w:val="00CD2916"/>
    <w:rsid w:val="00CD3222"/>
    <w:rsid w:val="00CD7B04"/>
    <w:rsid w:val="00CE01B8"/>
    <w:rsid w:val="00CE4C10"/>
    <w:rsid w:val="00CF0A61"/>
    <w:rsid w:val="00CF1BA4"/>
    <w:rsid w:val="00CF24DA"/>
    <w:rsid w:val="00CF31B2"/>
    <w:rsid w:val="00CF4052"/>
    <w:rsid w:val="00CF72E7"/>
    <w:rsid w:val="00D06669"/>
    <w:rsid w:val="00D07C7B"/>
    <w:rsid w:val="00D148FD"/>
    <w:rsid w:val="00D160FC"/>
    <w:rsid w:val="00D171E8"/>
    <w:rsid w:val="00D171EE"/>
    <w:rsid w:val="00D224BD"/>
    <w:rsid w:val="00D22C28"/>
    <w:rsid w:val="00D23916"/>
    <w:rsid w:val="00D26BAD"/>
    <w:rsid w:val="00D3137C"/>
    <w:rsid w:val="00D32893"/>
    <w:rsid w:val="00D33E0C"/>
    <w:rsid w:val="00D4139C"/>
    <w:rsid w:val="00D4288E"/>
    <w:rsid w:val="00D43F09"/>
    <w:rsid w:val="00D46A81"/>
    <w:rsid w:val="00D46D24"/>
    <w:rsid w:val="00D52066"/>
    <w:rsid w:val="00D52A44"/>
    <w:rsid w:val="00D52EBF"/>
    <w:rsid w:val="00D60A89"/>
    <w:rsid w:val="00D62713"/>
    <w:rsid w:val="00D6333B"/>
    <w:rsid w:val="00D64558"/>
    <w:rsid w:val="00D657DA"/>
    <w:rsid w:val="00D665E4"/>
    <w:rsid w:val="00D70672"/>
    <w:rsid w:val="00D70A6A"/>
    <w:rsid w:val="00D7584E"/>
    <w:rsid w:val="00D75892"/>
    <w:rsid w:val="00D771E1"/>
    <w:rsid w:val="00D77930"/>
    <w:rsid w:val="00D77CCF"/>
    <w:rsid w:val="00D77DE7"/>
    <w:rsid w:val="00D84309"/>
    <w:rsid w:val="00D877B4"/>
    <w:rsid w:val="00D9072C"/>
    <w:rsid w:val="00D93433"/>
    <w:rsid w:val="00DA0604"/>
    <w:rsid w:val="00DA576F"/>
    <w:rsid w:val="00DB0349"/>
    <w:rsid w:val="00DB20AC"/>
    <w:rsid w:val="00DC063F"/>
    <w:rsid w:val="00DC36B6"/>
    <w:rsid w:val="00DC4469"/>
    <w:rsid w:val="00DD2E44"/>
    <w:rsid w:val="00DD357A"/>
    <w:rsid w:val="00DD3833"/>
    <w:rsid w:val="00DD53A7"/>
    <w:rsid w:val="00DD5B59"/>
    <w:rsid w:val="00DD7C82"/>
    <w:rsid w:val="00DE04E4"/>
    <w:rsid w:val="00DE5477"/>
    <w:rsid w:val="00DE6E14"/>
    <w:rsid w:val="00DF48A7"/>
    <w:rsid w:val="00E075F4"/>
    <w:rsid w:val="00E13A7F"/>
    <w:rsid w:val="00E14126"/>
    <w:rsid w:val="00E155AD"/>
    <w:rsid w:val="00E15791"/>
    <w:rsid w:val="00E16688"/>
    <w:rsid w:val="00E1780D"/>
    <w:rsid w:val="00E17C68"/>
    <w:rsid w:val="00E216CC"/>
    <w:rsid w:val="00E2282C"/>
    <w:rsid w:val="00E23E85"/>
    <w:rsid w:val="00E24D21"/>
    <w:rsid w:val="00E2524E"/>
    <w:rsid w:val="00E2526E"/>
    <w:rsid w:val="00E27A91"/>
    <w:rsid w:val="00E30096"/>
    <w:rsid w:val="00E32733"/>
    <w:rsid w:val="00E3332A"/>
    <w:rsid w:val="00E36043"/>
    <w:rsid w:val="00E3621E"/>
    <w:rsid w:val="00E4134C"/>
    <w:rsid w:val="00E44E12"/>
    <w:rsid w:val="00E44E59"/>
    <w:rsid w:val="00E47CE8"/>
    <w:rsid w:val="00E6354F"/>
    <w:rsid w:val="00E63849"/>
    <w:rsid w:val="00E649D9"/>
    <w:rsid w:val="00E66CC5"/>
    <w:rsid w:val="00E67A32"/>
    <w:rsid w:val="00E70D8D"/>
    <w:rsid w:val="00E72961"/>
    <w:rsid w:val="00E72F58"/>
    <w:rsid w:val="00E72FE2"/>
    <w:rsid w:val="00E73104"/>
    <w:rsid w:val="00E7794E"/>
    <w:rsid w:val="00E80EA6"/>
    <w:rsid w:val="00E8428B"/>
    <w:rsid w:val="00E91228"/>
    <w:rsid w:val="00E92CB1"/>
    <w:rsid w:val="00E97D17"/>
    <w:rsid w:val="00EA37C1"/>
    <w:rsid w:val="00EA3975"/>
    <w:rsid w:val="00EA44E3"/>
    <w:rsid w:val="00EA57BD"/>
    <w:rsid w:val="00EA5BB5"/>
    <w:rsid w:val="00EA7077"/>
    <w:rsid w:val="00EA7237"/>
    <w:rsid w:val="00EA787A"/>
    <w:rsid w:val="00EB2BA5"/>
    <w:rsid w:val="00EC15D5"/>
    <w:rsid w:val="00EC36B2"/>
    <w:rsid w:val="00EC471E"/>
    <w:rsid w:val="00ED0E53"/>
    <w:rsid w:val="00ED4F65"/>
    <w:rsid w:val="00ED4F82"/>
    <w:rsid w:val="00EE48DE"/>
    <w:rsid w:val="00EE54C0"/>
    <w:rsid w:val="00EE7122"/>
    <w:rsid w:val="00EF12E6"/>
    <w:rsid w:val="00EF4BCD"/>
    <w:rsid w:val="00EF64AC"/>
    <w:rsid w:val="00F0027C"/>
    <w:rsid w:val="00F01975"/>
    <w:rsid w:val="00F04219"/>
    <w:rsid w:val="00F0665C"/>
    <w:rsid w:val="00F07642"/>
    <w:rsid w:val="00F14048"/>
    <w:rsid w:val="00F159DE"/>
    <w:rsid w:val="00F1759B"/>
    <w:rsid w:val="00F274E5"/>
    <w:rsid w:val="00F31DEA"/>
    <w:rsid w:val="00F332C4"/>
    <w:rsid w:val="00F35B10"/>
    <w:rsid w:val="00F36732"/>
    <w:rsid w:val="00F452BC"/>
    <w:rsid w:val="00F46698"/>
    <w:rsid w:val="00F4696F"/>
    <w:rsid w:val="00F474E2"/>
    <w:rsid w:val="00F50855"/>
    <w:rsid w:val="00F5156C"/>
    <w:rsid w:val="00F518AE"/>
    <w:rsid w:val="00F53B7A"/>
    <w:rsid w:val="00F547FB"/>
    <w:rsid w:val="00F5530C"/>
    <w:rsid w:val="00F55439"/>
    <w:rsid w:val="00F571C4"/>
    <w:rsid w:val="00F63091"/>
    <w:rsid w:val="00F64099"/>
    <w:rsid w:val="00F71397"/>
    <w:rsid w:val="00F74830"/>
    <w:rsid w:val="00F75B2C"/>
    <w:rsid w:val="00F83B79"/>
    <w:rsid w:val="00F84BDA"/>
    <w:rsid w:val="00F87A38"/>
    <w:rsid w:val="00F92997"/>
    <w:rsid w:val="00F97C36"/>
    <w:rsid w:val="00FA08A8"/>
    <w:rsid w:val="00FA4E5E"/>
    <w:rsid w:val="00FA527E"/>
    <w:rsid w:val="00FA7B8B"/>
    <w:rsid w:val="00FB1490"/>
    <w:rsid w:val="00FB6745"/>
    <w:rsid w:val="00FB7066"/>
    <w:rsid w:val="00FC1347"/>
    <w:rsid w:val="00FC2EA9"/>
    <w:rsid w:val="00FC3CB9"/>
    <w:rsid w:val="00FC7191"/>
    <w:rsid w:val="00FD414C"/>
    <w:rsid w:val="00FD44CF"/>
    <w:rsid w:val="00FD6B6B"/>
    <w:rsid w:val="00FE026E"/>
    <w:rsid w:val="00FE09D1"/>
    <w:rsid w:val="00FE15A3"/>
    <w:rsid w:val="00FE197A"/>
    <w:rsid w:val="00FE1E71"/>
    <w:rsid w:val="00FE46EB"/>
    <w:rsid w:val="00FE7940"/>
    <w:rsid w:val="00FF0671"/>
    <w:rsid w:val="00FF0BB2"/>
    <w:rsid w:val="00FF3A8B"/>
    <w:rsid w:val="00FF4901"/>
    <w:rsid w:val="00FF5B7C"/>
    <w:rsid w:val="00FF5C9C"/>
    <w:rsid w:val="00FF71C0"/>
    <w:rsid w:val="00FF725E"/>
    <w:rsid w:val="00FF735C"/>
    <w:rsid w:val="01001860"/>
    <w:rsid w:val="014AC1CB"/>
    <w:rsid w:val="017B771F"/>
    <w:rsid w:val="01916CE8"/>
    <w:rsid w:val="01A95EFD"/>
    <w:rsid w:val="01CFEA9B"/>
    <w:rsid w:val="0258B506"/>
    <w:rsid w:val="02599BF8"/>
    <w:rsid w:val="0271EAA9"/>
    <w:rsid w:val="029CF5E1"/>
    <w:rsid w:val="03279F25"/>
    <w:rsid w:val="0349F1B9"/>
    <w:rsid w:val="035BFCF3"/>
    <w:rsid w:val="03891D4D"/>
    <w:rsid w:val="03AF604E"/>
    <w:rsid w:val="03B2ED8D"/>
    <w:rsid w:val="03C0CD39"/>
    <w:rsid w:val="03DB6624"/>
    <w:rsid w:val="04161442"/>
    <w:rsid w:val="046A89A0"/>
    <w:rsid w:val="047B31FF"/>
    <w:rsid w:val="04A779E7"/>
    <w:rsid w:val="04B4FA07"/>
    <w:rsid w:val="04D23CA5"/>
    <w:rsid w:val="04E4EB14"/>
    <w:rsid w:val="050AFA80"/>
    <w:rsid w:val="0514795C"/>
    <w:rsid w:val="0529A2FA"/>
    <w:rsid w:val="053063C1"/>
    <w:rsid w:val="0555F7D8"/>
    <w:rsid w:val="057D38B6"/>
    <w:rsid w:val="05DB838C"/>
    <w:rsid w:val="062DE03D"/>
    <w:rsid w:val="06A19656"/>
    <w:rsid w:val="06C75A74"/>
    <w:rsid w:val="06FC2D9B"/>
    <w:rsid w:val="0723069E"/>
    <w:rsid w:val="079B4D6E"/>
    <w:rsid w:val="07EE3B52"/>
    <w:rsid w:val="07F16294"/>
    <w:rsid w:val="07F42386"/>
    <w:rsid w:val="0842C1F1"/>
    <w:rsid w:val="08944931"/>
    <w:rsid w:val="08C7776A"/>
    <w:rsid w:val="08CEF5DE"/>
    <w:rsid w:val="08FF3ADF"/>
    <w:rsid w:val="09A7B3AB"/>
    <w:rsid w:val="0A1141E7"/>
    <w:rsid w:val="0A3DBACA"/>
    <w:rsid w:val="0A3DC732"/>
    <w:rsid w:val="0A9FB7D4"/>
    <w:rsid w:val="0ACFDB8D"/>
    <w:rsid w:val="0B151FDE"/>
    <w:rsid w:val="0B31EF16"/>
    <w:rsid w:val="0BA0F451"/>
    <w:rsid w:val="0C10C639"/>
    <w:rsid w:val="0C1B44B4"/>
    <w:rsid w:val="0C91A629"/>
    <w:rsid w:val="0CE1BFF5"/>
    <w:rsid w:val="0D333614"/>
    <w:rsid w:val="0D3C2D56"/>
    <w:rsid w:val="0D468A15"/>
    <w:rsid w:val="0E3E84C8"/>
    <w:rsid w:val="0E544549"/>
    <w:rsid w:val="0EC99C99"/>
    <w:rsid w:val="0EF1BF52"/>
    <w:rsid w:val="0F571D3E"/>
    <w:rsid w:val="11232829"/>
    <w:rsid w:val="112ED134"/>
    <w:rsid w:val="114A1002"/>
    <w:rsid w:val="116B983B"/>
    <w:rsid w:val="11A399D3"/>
    <w:rsid w:val="11CE2B73"/>
    <w:rsid w:val="11F41910"/>
    <w:rsid w:val="121CB6F7"/>
    <w:rsid w:val="128F186E"/>
    <w:rsid w:val="128F8109"/>
    <w:rsid w:val="12A8DDBD"/>
    <w:rsid w:val="12BCE553"/>
    <w:rsid w:val="133B486C"/>
    <w:rsid w:val="1373762A"/>
    <w:rsid w:val="14170D87"/>
    <w:rsid w:val="1441CB6A"/>
    <w:rsid w:val="144961BB"/>
    <w:rsid w:val="1477007C"/>
    <w:rsid w:val="149C37EB"/>
    <w:rsid w:val="14CF9C20"/>
    <w:rsid w:val="157EE80A"/>
    <w:rsid w:val="15A2AAC9"/>
    <w:rsid w:val="15D24DEB"/>
    <w:rsid w:val="15E59ED4"/>
    <w:rsid w:val="16621AB9"/>
    <w:rsid w:val="16756F54"/>
    <w:rsid w:val="172D6C02"/>
    <w:rsid w:val="1755F27E"/>
    <w:rsid w:val="1768FC16"/>
    <w:rsid w:val="176E2EC5"/>
    <w:rsid w:val="17A3926E"/>
    <w:rsid w:val="17B6EB15"/>
    <w:rsid w:val="17D02312"/>
    <w:rsid w:val="18FF0BCF"/>
    <w:rsid w:val="196E2878"/>
    <w:rsid w:val="19AE9BC2"/>
    <w:rsid w:val="19BA2110"/>
    <w:rsid w:val="19F2A19B"/>
    <w:rsid w:val="1ABB2F85"/>
    <w:rsid w:val="1B5D4BBF"/>
    <w:rsid w:val="1B78CD9A"/>
    <w:rsid w:val="1B9697BF"/>
    <w:rsid w:val="1BF24196"/>
    <w:rsid w:val="1CC03F4B"/>
    <w:rsid w:val="1CE358F8"/>
    <w:rsid w:val="1D152522"/>
    <w:rsid w:val="1DA56327"/>
    <w:rsid w:val="1DF050B0"/>
    <w:rsid w:val="1E0456D8"/>
    <w:rsid w:val="1E0CB9EB"/>
    <w:rsid w:val="1E1B079F"/>
    <w:rsid w:val="1E56A7EE"/>
    <w:rsid w:val="1E6BFBC3"/>
    <w:rsid w:val="1EEE58DC"/>
    <w:rsid w:val="1EF8E5E1"/>
    <w:rsid w:val="1F59AE78"/>
    <w:rsid w:val="1F905AED"/>
    <w:rsid w:val="2022FB3D"/>
    <w:rsid w:val="20482224"/>
    <w:rsid w:val="2056EE99"/>
    <w:rsid w:val="208B265F"/>
    <w:rsid w:val="20D27E9C"/>
    <w:rsid w:val="21AD702C"/>
    <w:rsid w:val="21F6B8D3"/>
    <w:rsid w:val="225302A1"/>
    <w:rsid w:val="22C0F981"/>
    <w:rsid w:val="22F6B936"/>
    <w:rsid w:val="2324AED7"/>
    <w:rsid w:val="2343DC6F"/>
    <w:rsid w:val="23EBAE42"/>
    <w:rsid w:val="24142713"/>
    <w:rsid w:val="24849664"/>
    <w:rsid w:val="24B1A89A"/>
    <w:rsid w:val="24F2E1EB"/>
    <w:rsid w:val="24F9BAF2"/>
    <w:rsid w:val="251E7931"/>
    <w:rsid w:val="25244912"/>
    <w:rsid w:val="25688F51"/>
    <w:rsid w:val="2573D44F"/>
    <w:rsid w:val="258A3BC8"/>
    <w:rsid w:val="258FFE90"/>
    <w:rsid w:val="25BF6014"/>
    <w:rsid w:val="26689EDD"/>
    <w:rsid w:val="269F7331"/>
    <w:rsid w:val="26AA4A62"/>
    <w:rsid w:val="26AB9B35"/>
    <w:rsid w:val="26B5D6A2"/>
    <w:rsid w:val="26EF400E"/>
    <w:rsid w:val="278F616C"/>
    <w:rsid w:val="27A4803B"/>
    <w:rsid w:val="27D37434"/>
    <w:rsid w:val="28086EBD"/>
    <w:rsid w:val="286F751D"/>
    <w:rsid w:val="28B5567E"/>
    <w:rsid w:val="28B55CFC"/>
    <w:rsid w:val="28D7C0F9"/>
    <w:rsid w:val="28E39C78"/>
    <w:rsid w:val="293EE80C"/>
    <w:rsid w:val="29A1461A"/>
    <w:rsid w:val="2AC6B514"/>
    <w:rsid w:val="2B286432"/>
    <w:rsid w:val="2B3564F4"/>
    <w:rsid w:val="2B3C1BCB"/>
    <w:rsid w:val="2B3CF52E"/>
    <w:rsid w:val="2BF2B760"/>
    <w:rsid w:val="2C7E8902"/>
    <w:rsid w:val="2C7F5B07"/>
    <w:rsid w:val="2C8DF63D"/>
    <w:rsid w:val="2CD1271A"/>
    <w:rsid w:val="2CE090DC"/>
    <w:rsid w:val="2CFAC43D"/>
    <w:rsid w:val="2D62B9CA"/>
    <w:rsid w:val="2D64E3EA"/>
    <w:rsid w:val="2DB71062"/>
    <w:rsid w:val="2DBC5F1D"/>
    <w:rsid w:val="2DC344FF"/>
    <w:rsid w:val="2DE1082A"/>
    <w:rsid w:val="2DECEF5A"/>
    <w:rsid w:val="2E53E031"/>
    <w:rsid w:val="2E7DA84A"/>
    <w:rsid w:val="2EB9608F"/>
    <w:rsid w:val="2ECF7A44"/>
    <w:rsid w:val="2EDC9BE7"/>
    <w:rsid w:val="2EF54545"/>
    <w:rsid w:val="2EF7B784"/>
    <w:rsid w:val="2F38D14F"/>
    <w:rsid w:val="2F3E41C1"/>
    <w:rsid w:val="3003CDE7"/>
    <w:rsid w:val="300974AA"/>
    <w:rsid w:val="30370A19"/>
    <w:rsid w:val="303F67EC"/>
    <w:rsid w:val="3045D70A"/>
    <w:rsid w:val="30E0A1D4"/>
    <w:rsid w:val="3121D744"/>
    <w:rsid w:val="31490E07"/>
    <w:rsid w:val="31A8CFC4"/>
    <w:rsid w:val="3246BA5E"/>
    <w:rsid w:val="3286653C"/>
    <w:rsid w:val="32FBFA47"/>
    <w:rsid w:val="32FEB468"/>
    <w:rsid w:val="340FF928"/>
    <w:rsid w:val="341AAEC4"/>
    <w:rsid w:val="3437EDB3"/>
    <w:rsid w:val="3452D287"/>
    <w:rsid w:val="347A2EF6"/>
    <w:rsid w:val="34B4509D"/>
    <w:rsid w:val="34DFEAD2"/>
    <w:rsid w:val="34E543FC"/>
    <w:rsid w:val="351CC12B"/>
    <w:rsid w:val="352D2F18"/>
    <w:rsid w:val="35775C76"/>
    <w:rsid w:val="357BC19C"/>
    <w:rsid w:val="3597A8EB"/>
    <w:rsid w:val="36045AD1"/>
    <w:rsid w:val="3612ADAD"/>
    <w:rsid w:val="3617F255"/>
    <w:rsid w:val="36839157"/>
    <w:rsid w:val="368D5D38"/>
    <w:rsid w:val="369108CB"/>
    <w:rsid w:val="369879F7"/>
    <w:rsid w:val="36BA3415"/>
    <w:rsid w:val="36D2C390"/>
    <w:rsid w:val="36F11C7D"/>
    <w:rsid w:val="3790A23A"/>
    <w:rsid w:val="37AA9EA9"/>
    <w:rsid w:val="37F3E0CF"/>
    <w:rsid w:val="380C2840"/>
    <w:rsid w:val="3816F734"/>
    <w:rsid w:val="38A386CC"/>
    <w:rsid w:val="38BBF336"/>
    <w:rsid w:val="3922DA0C"/>
    <w:rsid w:val="398B2BE5"/>
    <w:rsid w:val="399C6B65"/>
    <w:rsid w:val="39D8483E"/>
    <w:rsid w:val="39E464C7"/>
    <w:rsid w:val="3A089594"/>
    <w:rsid w:val="3A155A1A"/>
    <w:rsid w:val="3A4C6080"/>
    <w:rsid w:val="3AF606B8"/>
    <w:rsid w:val="3B3B60ED"/>
    <w:rsid w:val="3B40958F"/>
    <w:rsid w:val="3BB52C33"/>
    <w:rsid w:val="3BC0CFAA"/>
    <w:rsid w:val="3BCF72F3"/>
    <w:rsid w:val="3BF224FE"/>
    <w:rsid w:val="3C2C5B27"/>
    <w:rsid w:val="3C81DA70"/>
    <w:rsid w:val="3CC992D2"/>
    <w:rsid w:val="3CDA4695"/>
    <w:rsid w:val="3CDCF781"/>
    <w:rsid w:val="3CF4A989"/>
    <w:rsid w:val="3D39A72A"/>
    <w:rsid w:val="3D4825FF"/>
    <w:rsid w:val="3D5E6112"/>
    <w:rsid w:val="3D6A15A6"/>
    <w:rsid w:val="3DEEF436"/>
    <w:rsid w:val="3E009F18"/>
    <w:rsid w:val="3E0AED68"/>
    <w:rsid w:val="3E34E337"/>
    <w:rsid w:val="3EAF1BCB"/>
    <w:rsid w:val="3EEA8B12"/>
    <w:rsid w:val="3F4CF647"/>
    <w:rsid w:val="3F8A73EE"/>
    <w:rsid w:val="3FE84974"/>
    <w:rsid w:val="40B24ADE"/>
    <w:rsid w:val="40E2D190"/>
    <w:rsid w:val="41B0C07D"/>
    <w:rsid w:val="420B8A28"/>
    <w:rsid w:val="429236D4"/>
    <w:rsid w:val="42C63E91"/>
    <w:rsid w:val="42D7B5D1"/>
    <w:rsid w:val="430C18BA"/>
    <w:rsid w:val="43146119"/>
    <w:rsid w:val="4332D499"/>
    <w:rsid w:val="436092D6"/>
    <w:rsid w:val="43866551"/>
    <w:rsid w:val="438BA7F9"/>
    <w:rsid w:val="439145F7"/>
    <w:rsid w:val="444A50AB"/>
    <w:rsid w:val="44915E43"/>
    <w:rsid w:val="44A21F19"/>
    <w:rsid w:val="44D58036"/>
    <w:rsid w:val="44DBE747"/>
    <w:rsid w:val="45094AED"/>
    <w:rsid w:val="452B56C8"/>
    <w:rsid w:val="45FA735D"/>
    <w:rsid w:val="4604925E"/>
    <w:rsid w:val="46401CC1"/>
    <w:rsid w:val="46FB2653"/>
    <w:rsid w:val="473B7808"/>
    <w:rsid w:val="47A93F83"/>
    <w:rsid w:val="47D4D2FF"/>
    <w:rsid w:val="48342E4B"/>
    <w:rsid w:val="48370C8F"/>
    <w:rsid w:val="48D70082"/>
    <w:rsid w:val="4920C6E2"/>
    <w:rsid w:val="4920C9A2"/>
    <w:rsid w:val="497D16AA"/>
    <w:rsid w:val="49B3DAAA"/>
    <w:rsid w:val="49B40552"/>
    <w:rsid w:val="49CD8FCC"/>
    <w:rsid w:val="49E7FD7F"/>
    <w:rsid w:val="4A12699D"/>
    <w:rsid w:val="4A9B8D60"/>
    <w:rsid w:val="4AE7C4AE"/>
    <w:rsid w:val="4B4F992D"/>
    <w:rsid w:val="4BAD3CD9"/>
    <w:rsid w:val="4BD62DC4"/>
    <w:rsid w:val="4C2EEBB0"/>
    <w:rsid w:val="4C3DCDE1"/>
    <w:rsid w:val="4C564414"/>
    <w:rsid w:val="4C6EE935"/>
    <w:rsid w:val="4C80DD1D"/>
    <w:rsid w:val="4CC4EA8B"/>
    <w:rsid w:val="4CE6F997"/>
    <w:rsid w:val="4D304526"/>
    <w:rsid w:val="4D4D49DD"/>
    <w:rsid w:val="4D4EE92B"/>
    <w:rsid w:val="4E3CC078"/>
    <w:rsid w:val="4E924647"/>
    <w:rsid w:val="4EBDE55A"/>
    <w:rsid w:val="4EDF8D2C"/>
    <w:rsid w:val="4EEFB8D5"/>
    <w:rsid w:val="4EF2526B"/>
    <w:rsid w:val="4F1AA8AC"/>
    <w:rsid w:val="4F215A0F"/>
    <w:rsid w:val="4FE6269D"/>
    <w:rsid w:val="500CB229"/>
    <w:rsid w:val="503EA463"/>
    <w:rsid w:val="5068B82A"/>
    <w:rsid w:val="507976B0"/>
    <w:rsid w:val="50BB2417"/>
    <w:rsid w:val="50F89BF6"/>
    <w:rsid w:val="514D9802"/>
    <w:rsid w:val="51562F14"/>
    <w:rsid w:val="5186DF72"/>
    <w:rsid w:val="51983404"/>
    <w:rsid w:val="51D539B3"/>
    <w:rsid w:val="51EB70A1"/>
    <w:rsid w:val="52094C7E"/>
    <w:rsid w:val="52E0A607"/>
    <w:rsid w:val="52FF36A8"/>
    <w:rsid w:val="531384E0"/>
    <w:rsid w:val="5327B5E7"/>
    <w:rsid w:val="532F2F6C"/>
    <w:rsid w:val="534AB61F"/>
    <w:rsid w:val="538CF63C"/>
    <w:rsid w:val="54295B25"/>
    <w:rsid w:val="542A64AA"/>
    <w:rsid w:val="558BBD76"/>
    <w:rsid w:val="55C47AC2"/>
    <w:rsid w:val="56422FA2"/>
    <w:rsid w:val="56B94F7F"/>
    <w:rsid w:val="56CF8915"/>
    <w:rsid w:val="579A3F40"/>
    <w:rsid w:val="57AAD043"/>
    <w:rsid w:val="581E5ADF"/>
    <w:rsid w:val="586CB8F8"/>
    <w:rsid w:val="588898FD"/>
    <w:rsid w:val="588DCB9A"/>
    <w:rsid w:val="58F329E8"/>
    <w:rsid w:val="58FBDDCA"/>
    <w:rsid w:val="58FE54EE"/>
    <w:rsid w:val="5932B15D"/>
    <w:rsid w:val="594A4419"/>
    <w:rsid w:val="59628032"/>
    <w:rsid w:val="59757EAF"/>
    <w:rsid w:val="59A07976"/>
    <w:rsid w:val="5A0F1FC7"/>
    <w:rsid w:val="5A2AD0A0"/>
    <w:rsid w:val="5AB660D6"/>
    <w:rsid w:val="5AB8D2BF"/>
    <w:rsid w:val="5AB97141"/>
    <w:rsid w:val="5AD040B5"/>
    <w:rsid w:val="5AD60A24"/>
    <w:rsid w:val="5AEAB6B5"/>
    <w:rsid w:val="5B177C05"/>
    <w:rsid w:val="5B3E0948"/>
    <w:rsid w:val="5B545490"/>
    <w:rsid w:val="5C201CE3"/>
    <w:rsid w:val="5C44B7B5"/>
    <w:rsid w:val="5C901C22"/>
    <w:rsid w:val="5D565B62"/>
    <w:rsid w:val="5D6428E2"/>
    <w:rsid w:val="5DE64A80"/>
    <w:rsid w:val="5F490168"/>
    <w:rsid w:val="5F553CB5"/>
    <w:rsid w:val="5F85AFEF"/>
    <w:rsid w:val="6016F274"/>
    <w:rsid w:val="60235E6B"/>
    <w:rsid w:val="604541FB"/>
    <w:rsid w:val="604AC784"/>
    <w:rsid w:val="60630076"/>
    <w:rsid w:val="60803A9C"/>
    <w:rsid w:val="60C38C66"/>
    <w:rsid w:val="611F9D63"/>
    <w:rsid w:val="6129BA01"/>
    <w:rsid w:val="6180A8A0"/>
    <w:rsid w:val="626056F2"/>
    <w:rsid w:val="627218D2"/>
    <w:rsid w:val="62FFEC03"/>
    <w:rsid w:val="63431A9F"/>
    <w:rsid w:val="636C2665"/>
    <w:rsid w:val="63980978"/>
    <w:rsid w:val="64488894"/>
    <w:rsid w:val="648298B7"/>
    <w:rsid w:val="648AC84A"/>
    <w:rsid w:val="648BA9AB"/>
    <w:rsid w:val="64DC0F54"/>
    <w:rsid w:val="654A9BA3"/>
    <w:rsid w:val="655376A4"/>
    <w:rsid w:val="657836F7"/>
    <w:rsid w:val="658BFE61"/>
    <w:rsid w:val="659E0FD6"/>
    <w:rsid w:val="65A68459"/>
    <w:rsid w:val="65A9E39F"/>
    <w:rsid w:val="65CEE62A"/>
    <w:rsid w:val="67243B15"/>
    <w:rsid w:val="672C7ACE"/>
    <w:rsid w:val="67339153"/>
    <w:rsid w:val="6789D027"/>
    <w:rsid w:val="678CBE33"/>
    <w:rsid w:val="67D0F304"/>
    <w:rsid w:val="68315E9D"/>
    <w:rsid w:val="6847E920"/>
    <w:rsid w:val="6856CF3A"/>
    <w:rsid w:val="68645968"/>
    <w:rsid w:val="68688277"/>
    <w:rsid w:val="687C6B30"/>
    <w:rsid w:val="68A2A715"/>
    <w:rsid w:val="68E8F534"/>
    <w:rsid w:val="6919EB67"/>
    <w:rsid w:val="69C83B32"/>
    <w:rsid w:val="69F05620"/>
    <w:rsid w:val="6A0715DA"/>
    <w:rsid w:val="6A37FDFC"/>
    <w:rsid w:val="6A3F7080"/>
    <w:rsid w:val="6A7CC86D"/>
    <w:rsid w:val="6ABDF026"/>
    <w:rsid w:val="6AD70AE8"/>
    <w:rsid w:val="6AE787CF"/>
    <w:rsid w:val="6B06BBA3"/>
    <w:rsid w:val="6B2B1AC5"/>
    <w:rsid w:val="6B4500B7"/>
    <w:rsid w:val="6B46039C"/>
    <w:rsid w:val="6B75151B"/>
    <w:rsid w:val="6B9FED8F"/>
    <w:rsid w:val="6BD9C373"/>
    <w:rsid w:val="6C18F644"/>
    <w:rsid w:val="6C451359"/>
    <w:rsid w:val="6C6B6CBF"/>
    <w:rsid w:val="6C9DFF6F"/>
    <w:rsid w:val="6CD0EFA0"/>
    <w:rsid w:val="6CFEF245"/>
    <w:rsid w:val="6DBC892A"/>
    <w:rsid w:val="6E1BDC85"/>
    <w:rsid w:val="6E507C86"/>
    <w:rsid w:val="6E7AD93D"/>
    <w:rsid w:val="6EA260D3"/>
    <w:rsid w:val="6EB59CAB"/>
    <w:rsid w:val="6EDD7BE7"/>
    <w:rsid w:val="6F0B8A1C"/>
    <w:rsid w:val="6F43E14D"/>
    <w:rsid w:val="6FCF766C"/>
    <w:rsid w:val="70908620"/>
    <w:rsid w:val="70BFB456"/>
    <w:rsid w:val="70F37163"/>
    <w:rsid w:val="717195D9"/>
    <w:rsid w:val="7171AAD2"/>
    <w:rsid w:val="7190D31C"/>
    <w:rsid w:val="719F33D2"/>
    <w:rsid w:val="71E9B472"/>
    <w:rsid w:val="7232EBC1"/>
    <w:rsid w:val="726DBE89"/>
    <w:rsid w:val="72B1B21B"/>
    <w:rsid w:val="72D1DF73"/>
    <w:rsid w:val="72ED2A0B"/>
    <w:rsid w:val="73669A1C"/>
    <w:rsid w:val="73BA4B62"/>
    <w:rsid w:val="73BE63F4"/>
    <w:rsid w:val="7414283E"/>
    <w:rsid w:val="74412CC2"/>
    <w:rsid w:val="74567CCF"/>
    <w:rsid w:val="74A3AB53"/>
    <w:rsid w:val="74CB3155"/>
    <w:rsid w:val="74DD1CE0"/>
    <w:rsid w:val="752F7CF8"/>
    <w:rsid w:val="755799E5"/>
    <w:rsid w:val="75C5BD25"/>
    <w:rsid w:val="75F66EBF"/>
    <w:rsid w:val="7603A4E3"/>
    <w:rsid w:val="769B1B4A"/>
    <w:rsid w:val="76CDC407"/>
    <w:rsid w:val="771745C2"/>
    <w:rsid w:val="773C6C21"/>
    <w:rsid w:val="774B8C2E"/>
    <w:rsid w:val="774C7B19"/>
    <w:rsid w:val="776C0602"/>
    <w:rsid w:val="776C11EF"/>
    <w:rsid w:val="7798E88C"/>
    <w:rsid w:val="77CA5CCD"/>
    <w:rsid w:val="782F134A"/>
    <w:rsid w:val="786EAE77"/>
    <w:rsid w:val="78CD523A"/>
    <w:rsid w:val="78D6FD4F"/>
    <w:rsid w:val="79159B36"/>
    <w:rsid w:val="794854B2"/>
    <w:rsid w:val="7963743A"/>
    <w:rsid w:val="79D017FE"/>
    <w:rsid w:val="7A0C3DAC"/>
    <w:rsid w:val="7A40C557"/>
    <w:rsid w:val="7AAC674E"/>
    <w:rsid w:val="7AC52BF6"/>
    <w:rsid w:val="7C59E466"/>
    <w:rsid w:val="7D49C903"/>
    <w:rsid w:val="7D5CFB4D"/>
    <w:rsid w:val="7D600880"/>
    <w:rsid w:val="7D702D1B"/>
    <w:rsid w:val="7DD79344"/>
    <w:rsid w:val="7DE28B58"/>
    <w:rsid w:val="7E426F4C"/>
    <w:rsid w:val="7E7FCA49"/>
    <w:rsid w:val="7EF9BF63"/>
    <w:rsid w:val="7F334506"/>
    <w:rsid w:val="7FCEF877"/>
    <w:rsid w:val="7FD586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0A00"/>
  <w15:chartTrackingRefBased/>
  <w15:docId w15:val="{6CCB1A34-76FE-4F9B-B286-4C99BEEB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205"/>
    <w:rPr>
      <w:color w:val="0563C1" w:themeColor="hyperlink"/>
      <w:u w:val="single"/>
    </w:rPr>
  </w:style>
  <w:style w:type="paragraph" w:styleId="ListParagraph">
    <w:name w:val="List Paragraph"/>
    <w:basedOn w:val="Normal"/>
    <w:uiPriority w:val="34"/>
    <w:qFormat/>
    <w:rsid w:val="00A13205"/>
    <w:pPr>
      <w:ind w:left="720"/>
      <w:contextualSpacing/>
    </w:pPr>
  </w:style>
  <w:style w:type="table" w:styleId="TableGrid">
    <w:name w:val="Table Grid"/>
    <w:basedOn w:val="TableNormal"/>
    <w:uiPriority w:val="39"/>
    <w:rsid w:val="008E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D46"/>
  </w:style>
  <w:style w:type="paragraph" w:styleId="Footer">
    <w:name w:val="footer"/>
    <w:basedOn w:val="Normal"/>
    <w:link w:val="FooterChar"/>
    <w:uiPriority w:val="99"/>
    <w:unhideWhenUsed/>
    <w:rsid w:val="00B46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D46"/>
  </w:style>
  <w:style w:type="paragraph" w:styleId="Caption">
    <w:name w:val="caption"/>
    <w:basedOn w:val="Normal"/>
    <w:next w:val="Normal"/>
    <w:uiPriority w:val="35"/>
    <w:unhideWhenUsed/>
    <w:qFormat/>
    <w:rsid w:val="003D4B7C"/>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7E55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557B"/>
    <w:rPr>
      <w:sz w:val="20"/>
      <w:szCs w:val="20"/>
    </w:rPr>
  </w:style>
  <w:style w:type="character" w:styleId="EndnoteReference">
    <w:name w:val="endnote reference"/>
    <w:basedOn w:val="DefaultParagraphFont"/>
    <w:uiPriority w:val="99"/>
    <w:semiHidden/>
    <w:unhideWhenUsed/>
    <w:rsid w:val="007E557B"/>
    <w:rPr>
      <w:vertAlign w:val="superscript"/>
    </w:rPr>
  </w:style>
  <w:style w:type="character" w:styleId="UnresolvedMention">
    <w:name w:val="Unresolved Mention"/>
    <w:basedOn w:val="DefaultParagraphFont"/>
    <w:uiPriority w:val="99"/>
    <w:semiHidden/>
    <w:unhideWhenUsed/>
    <w:rsid w:val="00B17683"/>
    <w:rPr>
      <w:color w:val="605E5C"/>
      <w:shd w:val="clear" w:color="auto" w:fill="E1DFDD"/>
    </w:rPr>
  </w:style>
  <w:style w:type="paragraph" w:styleId="CommentText">
    <w:name w:val="annotation text"/>
    <w:basedOn w:val="Normal"/>
    <w:link w:val="CommentTextChar"/>
    <w:uiPriority w:val="99"/>
    <w:unhideWhenUsed/>
    <w:rsid w:val="00D7584E"/>
    <w:pPr>
      <w:spacing w:line="240" w:lineRule="auto"/>
    </w:pPr>
    <w:rPr>
      <w:sz w:val="20"/>
      <w:szCs w:val="20"/>
    </w:rPr>
  </w:style>
  <w:style w:type="character" w:customStyle="1" w:styleId="CommentTextChar">
    <w:name w:val="Comment Text Char"/>
    <w:basedOn w:val="DefaultParagraphFont"/>
    <w:link w:val="CommentText"/>
    <w:uiPriority w:val="99"/>
    <w:rsid w:val="00D7584E"/>
    <w:rPr>
      <w:sz w:val="20"/>
      <w:szCs w:val="20"/>
    </w:rPr>
  </w:style>
  <w:style w:type="character" w:styleId="CommentReference">
    <w:name w:val="annotation reference"/>
    <w:basedOn w:val="DefaultParagraphFont"/>
    <w:uiPriority w:val="99"/>
    <w:semiHidden/>
    <w:unhideWhenUsed/>
    <w:rsid w:val="00D7584E"/>
    <w:rPr>
      <w:sz w:val="16"/>
      <w:szCs w:val="16"/>
    </w:rPr>
  </w:style>
  <w:style w:type="paragraph" w:styleId="Revision">
    <w:name w:val="Revision"/>
    <w:hidden/>
    <w:uiPriority w:val="99"/>
    <w:semiHidden/>
    <w:rsid w:val="006C299C"/>
    <w:pPr>
      <w:spacing w:after="0" w:line="240" w:lineRule="auto"/>
    </w:pPr>
  </w:style>
  <w:style w:type="character" w:customStyle="1" w:styleId="personname">
    <w:name w:val="person_name"/>
    <w:basedOn w:val="DefaultParagraphFont"/>
    <w:rsid w:val="006C299C"/>
  </w:style>
  <w:style w:type="paragraph" w:styleId="CommentSubject">
    <w:name w:val="annotation subject"/>
    <w:basedOn w:val="CommentText"/>
    <w:next w:val="CommentText"/>
    <w:link w:val="CommentSubjectChar"/>
    <w:uiPriority w:val="99"/>
    <w:semiHidden/>
    <w:unhideWhenUsed/>
    <w:rsid w:val="006C299C"/>
    <w:rPr>
      <w:b/>
      <w:bCs/>
    </w:rPr>
  </w:style>
  <w:style w:type="character" w:customStyle="1" w:styleId="CommentSubjectChar">
    <w:name w:val="Comment Subject Char"/>
    <w:basedOn w:val="CommentTextChar"/>
    <w:link w:val="CommentSubject"/>
    <w:uiPriority w:val="99"/>
    <w:semiHidden/>
    <w:rsid w:val="006C299C"/>
    <w:rPr>
      <w:b/>
      <w:bCs/>
      <w:sz w:val="20"/>
      <w:szCs w:val="20"/>
    </w:rPr>
  </w:style>
  <w:style w:type="character" w:styleId="FollowedHyperlink">
    <w:name w:val="FollowedHyperlink"/>
    <w:basedOn w:val="DefaultParagraphFont"/>
    <w:uiPriority w:val="99"/>
    <w:semiHidden/>
    <w:unhideWhenUsed/>
    <w:rsid w:val="003D1E40"/>
    <w:rPr>
      <w:color w:val="954F72" w:themeColor="followedHyperlink"/>
      <w:u w:val="single"/>
    </w:rPr>
  </w:style>
  <w:style w:type="character" w:styleId="PlaceholderText">
    <w:name w:val="Placeholder Text"/>
    <w:basedOn w:val="DefaultParagraphFont"/>
    <w:uiPriority w:val="99"/>
    <w:semiHidden/>
    <w:rsid w:val="002212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3699">
      <w:bodyDiv w:val="1"/>
      <w:marLeft w:val="0"/>
      <w:marRight w:val="0"/>
      <w:marTop w:val="0"/>
      <w:marBottom w:val="0"/>
      <w:divBdr>
        <w:top w:val="none" w:sz="0" w:space="0" w:color="auto"/>
        <w:left w:val="none" w:sz="0" w:space="0" w:color="auto"/>
        <w:bottom w:val="none" w:sz="0" w:space="0" w:color="auto"/>
        <w:right w:val="none" w:sz="0" w:space="0" w:color="auto"/>
      </w:divBdr>
    </w:div>
    <w:div w:id="144247172">
      <w:bodyDiv w:val="1"/>
      <w:marLeft w:val="0"/>
      <w:marRight w:val="0"/>
      <w:marTop w:val="0"/>
      <w:marBottom w:val="0"/>
      <w:divBdr>
        <w:top w:val="none" w:sz="0" w:space="0" w:color="auto"/>
        <w:left w:val="none" w:sz="0" w:space="0" w:color="auto"/>
        <w:bottom w:val="none" w:sz="0" w:space="0" w:color="auto"/>
        <w:right w:val="none" w:sz="0" w:space="0" w:color="auto"/>
      </w:divBdr>
    </w:div>
    <w:div w:id="196090806">
      <w:bodyDiv w:val="1"/>
      <w:marLeft w:val="0"/>
      <w:marRight w:val="0"/>
      <w:marTop w:val="0"/>
      <w:marBottom w:val="0"/>
      <w:divBdr>
        <w:top w:val="none" w:sz="0" w:space="0" w:color="auto"/>
        <w:left w:val="none" w:sz="0" w:space="0" w:color="auto"/>
        <w:bottom w:val="none" w:sz="0" w:space="0" w:color="auto"/>
        <w:right w:val="none" w:sz="0" w:space="0" w:color="auto"/>
      </w:divBdr>
      <w:divsChild>
        <w:div w:id="132597959">
          <w:marLeft w:val="0"/>
          <w:marRight w:val="0"/>
          <w:marTop w:val="0"/>
          <w:marBottom w:val="0"/>
          <w:divBdr>
            <w:top w:val="none" w:sz="0" w:space="0" w:color="auto"/>
            <w:left w:val="none" w:sz="0" w:space="0" w:color="auto"/>
            <w:bottom w:val="none" w:sz="0" w:space="0" w:color="auto"/>
            <w:right w:val="none" w:sz="0" w:space="0" w:color="auto"/>
          </w:divBdr>
        </w:div>
        <w:div w:id="199172210">
          <w:marLeft w:val="0"/>
          <w:marRight w:val="0"/>
          <w:marTop w:val="0"/>
          <w:marBottom w:val="0"/>
          <w:divBdr>
            <w:top w:val="none" w:sz="0" w:space="0" w:color="auto"/>
            <w:left w:val="none" w:sz="0" w:space="0" w:color="auto"/>
            <w:bottom w:val="none" w:sz="0" w:space="0" w:color="auto"/>
            <w:right w:val="none" w:sz="0" w:space="0" w:color="auto"/>
          </w:divBdr>
        </w:div>
        <w:div w:id="976446780">
          <w:marLeft w:val="0"/>
          <w:marRight w:val="0"/>
          <w:marTop w:val="0"/>
          <w:marBottom w:val="0"/>
          <w:divBdr>
            <w:top w:val="none" w:sz="0" w:space="0" w:color="auto"/>
            <w:left w:val="none" w:sz="0" w:space="0" w:color="auto"/>
            <w:bottom w:val="none" w:sz="0" w:space="0" w:color="auto"/>
            <w:right w:val="none" w:sz="0" w:space="0" w:color="auto"/>
          </w:divBdr>
        </w:div>
        <w:div w:id="1336612148">
          <w:marLeft w:val="0"/>
          <w:marRight w:val="0"/>
          <w:marTop w:val="0"/>
          <w:marBottom w:val="0"/>
          <w:divBdr>
            <w:top w:val="none" w:sz="0" w:space="0" w:color="auto"/>
            <w:left w:val="none" w:sz="0" w:space="0" w:color="auto"/>
            <w:bottom w:val="none" w:sz="0" w:space="0" w:color="auto"/>
            <w:right w:val="none" w:sz="0" w:space="0" w:color="auto"/>
          </w:divBdr>
        </w:div>
      </w:divsChild>
    </w:div>
    <w:div w:id="486559280">
      <w:bodyDiv w:val="1"/>
      <w:marLeft w:val="0"/>
      <w:marRight w:val="0"/>
      <w:marTop w:val="0"/>
      <w:marBottom w:val="0"/>
      <w:divBdr>
        <w:top w:val="none" w:sz="0" w:space="0" w:color="auto"/>
        <w:left w:val="none" w:sz="0" w:space="0" w:color="auto"/>
        <w:bottom w:val="none" w:sz="0" w:space="0" w:color="auto"/>
        <w:right w:val="none" w:sz="0" w:space="0" w:color="auto"/>
      </w:divBdr>
    </w:div>
    <w:div w:id="593319231">
      <w:bodyDiv w:val="1"/>
      <w:marLeft w:val="0"/>
      <w:marRight w:val="0"/>
      <w:marTop w:val="0"/>
      <w:marBottom w:val="0"/>
      <w:divBdr>
        <w:top w:val="none" w:sz="0" w:space="0" w:color="auto"/>
        <w:left w:val="none" w:sz="0" w:space="0" w:color="auto"/>
        <w:bottom w:val="none" w:sz="0" w:space="0" w:color="auto"/>
        <w:right w:val="none" w:sz="0" w:space="0" w:color="auto"/>
      </w:divBdr>
      <w:divsChild>
        <w:div w:id="461653364">
          <w:marLeft w:val="0"/>
          <w:marRight w:val="0"/>
          <w:marTop w:val="0"/>
          <w:marBottom w:val="0"/>
          <w:divBdr>
            <w:top w:val="none" w:sz="0" w:space="0" w:color="auto"/>
            <w:left w:val="none" w:sz="0" w:space="0" w:color="auto"/>
            <w:bottom w:val="none" w:sz="0" w:space="0" w:color="auto"/>
            <w:right w:val="none" w:sz="0" w:space="0" w:color="auto"/>
          </w:divBdr>
        </w:div>
        <w:div w:id="555236244">
          <w:marLeft w:val="0"/>
          <w:marRight w:val="0"/>
          <w:marTop w:val="0"/>
          <w:marBottom w:val="0"/>
          <w:divBdr>
            <w:top w:val="none" w:sz="0" w:space="0" w:color="auto"/>
            <w:left w:val="none" w:sz="0" w:space="0" w:color="auto"/>
            <w:bottom w:val="none" w:sz="0" w:space="0" w:color="auto"/>
            <w:right w:val="none" w:sz="0" w:space="0" w:color="auto"/>
          </w:divBdr>
        </w:div>
        <w:div w:id="816341155">
          <w:marLeft w:val="0"/>
          <w:marRight w:val="0"/>
          <w:marTop w:val="0"/>
          <w:marBottom w:val="0"/>
          <w:divBdr>
            <w:top w:val="none" w:sz="0" w:space="0" w:color="auto"/>
            <w:left w:val="none" w:sz="0" w:space="0" w:color="auto"/>
            <w:bottom w:val="none" w:sz="0" w:space="0" w:color="auto"/>
            <w:right w:val="none" w:sz="0" w:space="0" w:color="auto"/>
          </w:divBdr>
        </w:div>
        <w:div w:id="878665619">
          <w:marLeft w:val="0"/>
          <w:marRight w:val="0"/>
          <w:marTop w:val="0"/>
          <w:marBottom w:val="0"/>
          <w:divBdr>
            <w:top w:val="none" w:sz="0" w:space="0" w:color="auto"/>
            <w:left w:val="none" w:sz="0" w:space="0" w:color="auto"/>
            <w:bottom w:val="none" w:sz="0" w:space="0" w:color="auto"/>
            <w:right w:val="none" w:sz="0" w:space="0" w:color="auto"/>
          </w:divBdr>
        </w:div>
        <w:div w:id="1649167109">
          <w:marLeft w:val="0"/>
          <w:marRight w:val="0"/>
          <w:marTop w:val="0"/>
          <w:marBottom w:val="0"/>
          <w:divBdr>
            <w:top w:val="none" w:sz="0" w:space="0" w:color="auto"/>
            <w:left w:val="none" w:sz="0" w:space="0" w:color="auto"/>
            <w:bottom w:val="none" w:sz="0" w:space="0" w:color="auto"/>
            <w:right w:val="none" w:sz="0" w:space="0" w:color="auto"/>
          </w:divBdr>
        </w:div>
      </w:divsChild>
    </w:div>
    <w:div w:id="644819957">
      <w:bodyDiv w:val="1"/>
      <w:marLeft w:val="0"/>
      <w:marRight w:val="0"/>
      <w:marTop w:val="0"/>
      <w:marBottom w:val="0"/>
      <w:divBdr>
        <w:top w:val="none" w:sz="0" w:space="0" w:color="auto"/>
        <w:left w:val="none" w:sz="0" w:space="0" w:color="auto"/>
        <w:bottom w:val="none" w:sz="0" w:space="0" w:color="auto"/>
        <w:right w:val="none" w:sz="0" w:space="0" w:color="auto"/>
      </w:divBdr>
    </w:div>
    <w:div w:id="756755140">
      <w:bodyDiv w:val="1"/>
      <w:marLeft w:val="0"/>
      <w:marRight w:val="0"/>
      <w:marTop w:val="0"/>
      <w:marBottom w:val="0"/>
      <w:divBdr>
        <w:top w:val="none" w:sz="0" w:space="0" w:color="auto"/>
        <w:left w:val="none" w:sz="0" w:space="0" w:color="auto"/>
        <w:bottom w:val="none" w:sz="0" w:space="0" w:color="auto"/>
        <w:right w:val="none" w:sz="0" w:space="0" w:color="auto"/>
      </w:divBdr>
    </w:div>
    <w:div w:id="857815231">
      <w:bodyDiv w:val="1"/>
      <w:marLeft w:val="0"/>
      <w:marRight w:val="0"/>
      <w:marTop w:val="0"/>
      <w:marBottom w:val="0"/>
      <w:divBdr>
        <w:top w:val="none" w:sz="0" w:space="0" w:color="auto"/>
        <w:left w:val="none" w:sz="0" w:space="0" w:color="auto"/>
        <w:bottom w:val="none" w:sz="0" w:space="0" w:color="auto"/>
        <w:right w:val="none" w:sz="0" w:space="0" w:color="auto"/>
      </w:divBdr>
    </w:div>
    <w:div w:id="912857036">
      <w:bodyDiv w:val="1"/>
      <w:marLeft w:val="0"/>
      <w:marRight w:val="0"/>
      <w:marTop w:val="0"/>
      <w:marBottom w:val="0"/>
      <w:divBdr>
        <w:top w:val="none" w:sz="0" w:space="0" w:color="auto"/>
        <w:left w:val="none" w:sz="0" w:space="0" w:color="auto"/>
        <w:bottom w:val="none" w:sz="0" w:space="0" w:color="auto"/>
        <w:right w:val="none" w:sz="0" w:space="0" w:color="auto"/>
      </w:divBdr>
    </w:div>
    <w:div w:id="1086808502">
      <w:bodyDiv w:val="1"/>
      <w:marLeft w:val="0"/>
      <w:marRight w:val="0"/>
      <w:marTop w:val="0"/>
      <w:marBottom w:val="0"/>
      <w:divBdr>
        <w:top w:val="none" w:sz="0" w:space="0" w:color="auto"/>
        <w:left w:val="none" w:sz="0" w:space="0" w:color="auto"/>
        <w:bottom w:val="none" w:sz="0" w:space="0" w:color="auto"/>
        <w:right w:val="none" w:sz="0" w:space="0" w:color="auto"/>
      </w:divBdr>
      <w:divsChild>
        <w:div w:id="1478915405">
          <w:marLeft w:val="720"/>
          <w:marRight w:val="0"/>
          <w:marTop w:val="0"/>
          <w:marBottom w:val="0"/>
          <w:divBdr>
            <w:top w:val="none" w:sz="0" w:space="0" w:color="auto"/>
            <w:left w:val="none" w:sz="0" w:space="0" w:color="auto"/>
            <w:bottom w:val="none" w:sz="0" w:space="0" w:color="auto"/>
            <w:right w:val="none" w:sz="0" w:space="0" w:color="auto"/>
          </w:divBdr>
          <w:divsChild>
            <w:div w:id="1282569140">
              <w:marLeft w:val="0"/>
              <w:marRight w:val="0"/>
              <w:marTop w:val="0"/>
              <w:marBottom w:val="0"/>
              <w:divBdr>
                <w:top w:val="none" w:sz="0" w:space="0" w:color="auto"/>
                <w:left w:val="none" w:sz="0" w:space="0" w:color="auto"/>
                <w:bottom w:val="none" w:sz="0" w:space="0" w:color="auto"/>
                <w:right w:val="none" w:sz="0" w:space="0" w:color="auto"/>
              </w:divBdr>
              <w:divsChild>
                <w:div w:id="1136143408">
                  <w:marLeft w:val="0"/>
                  <w:marRight w:val="0"/>
                  <w:marTop w:val="0"/>
                  <w:marBottom w:val="0"/>
                  <w:divBdr>
                    <w:top w:val="none" w:sz="0" w:space="0" w:color="auto"/>
                    <w:left w:val="none" w:sz="0" w:space="0" w:color="auto"/>
                    <w:bottom w:val="none" w:sz="0" w:space="0" w:color="auto"/>
                    <w:right w:val="none" w:sz="0" w:space="0" w:color="auto"/>
                  </w:divBdr>
                  <w:divsChild>
                    <w:div w:id="2090999925">
                      <w:marLeft w:val="0"/>
                      <w:marRight w:val="0"/>
                      <w:marTop w:val="0"/>
                      <w:marBottom w:val="0"/>
                      <w:divBdr>
                        <w:top w:val="none" w:sz="0" w:space="0" w:color="auto"/>
                        <w:left w:val="none" w:sz="0" w:space="0" w:color="auto"/>
                        <w:bottom w:val="none" w:sz="0" w:space="0" w:color="auto"/>
                        <w:right w:val="none" w:sz="0" w:space="0" w:color="auto"/>
                      </w:divBdr>
                      <w:divsChild>
                        <w:div w:id="13954700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09542474">
          <w:marLeft w:val="780"/>
          <w:marRight w:val="0"/>
          <w:marTop w:val="0"/>
          <w:marBottom w:val="0"/>
          <w:divBdr>
            <w:top w:val="none" w:sz="0" w:space="0" w:color="auto"/>
            <w:left w:val="none" w:sz="0" w:space="0" w:color="auto"/>
            <w:bottom w:val="none" w:sz="0" w:space="0" w:color="auto"/>
            <w:right w:val="none" w:sz="0" w:space="0" w:color="auto"/>
          </w:divBdr>
          <w:divsChild>
            <w:div w:id="328485626">
              <w:marLeft w:val="0"/>
              <w:marRight w:val="0"/>
              <w:marTop w:val="0"/>
              <w:marBottom w:val="0"/>
              <w:divBdr>
                <w:top w:val="none" w:sz="0" w:space="0" w:color="auto"/>
                <w:left w:val="none" w:sz="0" w:space="0" w:color="auto"/>
                <w:bottom w:val="none" w:sz="0" w:space="0" w:color="auto"/>
                <w:right w:val="none" w:sz="0" w:space="0" w:color="auto"/>
              </w:divBdr>
              <w:divsChild>
                <w:div w:id="698624297">
                  <w:marLeft w:val="0"/>
                  <w:marRight w:val="0"/>
                  <w:marTop w:val="0"/>
                  <w:marBottom w:val="0"/>
                  <w:divBdr>
                    <w:top w:val="none" w:sz="0" w:space="0" w:color="auto"/>
                    <w:left w:val="none" w:sz="0" w:space="0" w:color="auto"/>
                    <w:bottom w:val="none" w:sz="0" w:space="0" w:color="auto"/>
                    <w:right w:val="none" w:sz="0" w:space="0" w:color="auto"/>
                  </w:divBdr>
                  <w:divsChild>
                    <w:div w:id="2094429270">
                      <w:marLeft w:val="0"/>
                      <w:marRight w:val="0"/>
                      <w:marTop w:val="0"/>
                      <w:marBottom w:val="0"/>
                      <w:divBdr>
                        <w:top w:val="none" w:sz="0" w:space="0" w:color="auto"/>
                        <w:left w:val="none" w:sz="0" w:space="0" w:color="auto"/>
                        <w:bottom w:val="none" w:sz="0" w:space="0" w:color="auto"/>
                        <w:right w:val="none" w:sz="0" w:space="0" w:color="auto"/>
                      </w:divBdr>
                      <w:divsChild>
                        <w:div w:id="958797405">
                          <w:marLeft w:val="0"/>
                          <w:marRight w:val="0"/>
                          <w:marTop w:val="0"/>
                          <w:marBottom w:val="0"/>
                          <w:divBdr>
                            <w:top w:val="none" w:sz="0" w:space="0" w:color="auto"/>
                            <w:left w:val="none" w:sz="0" w:space="0" w:color="auto"/>
                            <w:bottom w:val="none" w:sz="0" w:space="0" w:color="auto"/>
                            <w:right w:val="none" w:sz="0" w:space="0" w:color="auto"/>
                          </w:divBdr>
                          <w:divsChild>
                            <w:div w:id="1872448419">
                              <w:marLeft w:val="0"/>
                              <w:marRight w:val="0"/>
                              <w:marTop w:val="0"/>
                              <w:marBottom w:val="0"/>
                              <w:divBdr>
                                <w:top w:val="none" w:sz="0" w:space="0" w:color="auto"/>
                                <w:left w:val="none" w:sz="0" w:space="0" w:color="auto"/>
                                <w:bottom w:val="none" w:sz="0" w:space="0" w:color="auto"/>
                                <w:right w:val="none" w:sz="0" w:space="0" w:color="auto"/>
                              </w:divBdr>
                              <w:divsChild>
                                <w:div w:id="401291114">
                                  <w:marLeft w:val="0"/>
                                  <w:marRight w:val="0"/>
                                  <w:marTop w:val="0"/>
                                  <w:marBottom w:val="0"/>
                                  <w:divBdr>
                                    <w:top w:val="none" w:sz="0" w:space="0" w:color="auto"/>
                                    <w:left w:val="none" w:sz="0" w:space="0" w:color="auto"/>
                                    <w:bottom w:val="none" w:sz="0" w:space="0" w:color="auto"/>
                                    <w:right w:val="none" w:sz="0" w:space="0" w:color="auto"/>
                                  </w:divBdr>
                                  <w:divsChild>
                                    <w:div w:id="1822650665">
                                      <w:marLeft w:val="0"/>
                                      <w:marRight w:val="0"/>
                                      <w:marTop w:val="0"/>
                                      <w:marBottom w:val="0"/>
                                      <w:divBdr>
                                        <w:top w:val="none" w:sz="0" w:space="0" w:color="auto"/>
                                        <w:left w:val="none" w:sz="0" w:space="0" w:color="auto"/>
                                        <w:bottom w:val="none" w:sz="0" w:space="0" w:color="auto"/>
                                        <w:right w:val="none" w:sz="0" w:space="0" w:color="auto"/>
                                      </w:divBdr>
                                      <w:divsChild>
                                        <w:div w:id="1341350221">
                                          <w:marLeft w:val="0"/>
                                          <w:marRight w:val="0"/>
                                          <w:marTop w:val="0"/>
                                          <w:marBottom w:val="0"/>
                                          <w:divBdr>
                                            <w:top w:val="none" w:sz="0" w:space="0" w:color="auto"/>
                                            <w:left w:val="none" w:sz="0" w:space="0" w:color="auto"/>
                                            <w:bottom w:val="none" w:sz="0" w:space="0" w:color="auto"/>
                                            <w:right w:val="none" w:sz="0" w:space="0" w:color="auto"/>
                                          </w:divBdr>
                                          <w:divsChild>
                                            <w:div w:id="3406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0331">
                                      <w:marLeft w:val="0"/>
                                      <w:marRight w:val="0"/>
                                      <w:marTop w:val="0"/>
                                      <w:marBottom w:val="0"/>
                                      <w:divBdr>
                                        <w:top w:val="none" w:sz="0" w:space="0" w:color="auto"/>
                                        <w:left w:val="none" w:sz="0" w:space="0" w:color="auto"/>
                                        <w:bottom w:val="none" w:sz="0" w:space="0" w:color="auto"/>
                                        <w:right w:val="none" w:sz="0" w:space="0" w:color="auto"/>
                                      </w:divBdr>
                                      <w:divsChild>
                                        <w:div w:id="1196117107">
                                          <w:marLeft w:val="0"/>
                                          <w:marRight w:val="0"/>
                                          <w:marTop w:val="0"/>
                                          <w:marBottom w:val="0"/>
                                          <w:divBdr>
                                            <w:top w:val="none" w:sz="0" w:space="0" w:color="auto"/>
                                            <w:left w:val="none" w:sz="0" w:space="0" w:color="auto"/>
                                            <w:bottom w:val="none" w:sz="0" w:space="0" w:color="auto"/>
                                            <w:right w:val="none" w:sz="0" w:space="0" w:color="auto"/>
                                          </w:divBdr>
                                          <w:divsChild>
                                            <w:div w:id="21243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0911">
                                      <w:marLeft w:val="0"/>
                                      <w:marRight w:val="0"/>
                                      <w:marTop w:val="0"/>
                                      <w:marBottom w:val="0"/>
                                      <w:divBdr>
                                        <w:top w:val="none" w:sz="0" w:space="0" w:color="auto"/>
                                        <w:left w:val="none" w:sz="0" w:space="0" w:color="auto"/>
                                        <w:bottom w:val="none" w:sz="0" w:space="0" w:color="auto"/>
                                        <w:right w:val="none" w:sz="0" w:space="0" w:color="auto"/>
                                      </w:divBdr>
                                      <w:divsChild>
                                        <w:div w:id="634875818">
                                          <w:marLeft w:val="0"/>
                                          <w:marRight w:val="0"/>
                                          <w:marTop w:val="0"/>
                                          <w:marBottom w:val="0"/>
                                          <w:divBdr>
                                            <w:top w:val="none" w:sz="0" w:space="0" w:color="auto"/>
                                            <w:left w:val="none" w:sz="0" w:space="0" w:color="auto"/>
                                            <w:bottom w:val="none" w:sz="0" w:space="0" w:color="auto"/>
                                            <w:right w:val="none" w:sz="0" w:space="0" w:color="auto"/>
                                          </w:divBdr>
                                          <w:divsChild>
                                            <w:div w:id="169268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3336">
                                      <w:marLeft w:val="0"/>
                                      <w:marRight w:val="0"/>
                                      <w:marTop w:val="0"/>
                                      <w:marBottom w:val="0"/>
                                      <w:divBdr>
                                        <w:top w:val="none" w:sz="0" w:space="0" w:color="auto"/>
                                        <w:left w:val="none" w:sz="0" w:space="0" w:color="auto"/>
                                        <w:bottom w:val="none" w:sz="0" w:space="0" w:color="auto"/>
                                        <w:right w:val="none" w:sz="0" w:space="0" w:color="auto"/>
                                      </w:divBdr>
                                      <w:divsChild>
                                        <w:div w:id="20596711">
                                          <w:marLeft w:val="0"/>
                                          <w:marRight w:val="0"/>
                                          <w:marTop w:val="0"/>
                                          <w:marBottom w:val="0"/>
                                          <w:divBdr>
                                            <w:top w:val="none" w:sz="0" w:space="0" w:color="auto"/>
                                            <w:left w:val="none" w:sz="0" w:space="0" w:color="auto"/>
                                            <w:bottom w:val="none" w:sz="0" w:space="0" w:color="auto"/>
                                            <w:right w:val="none" w:sz="0" w:space="0" w:color="auto"/>
                                          </w:divBdr>
                                          <w:divsChild>
                                            <w:div w:id="17340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7359">
                                      <w:marLeft w:val="0"/>
                                      <w:marRight w:val="0"/>
                                      <w:marTop w:val="0"/>
                                      <w:marBottom w:val="0"/>
                                      <w:divBdr>
                                        <w:top w:val="none" w:sz="0" w:space="0" w:color="auto"/>
                                        <w:left w:val="none" w:sz="0" w:space="0" w:color="auto"/>
                                        <w:bottom w:val="none" w:sz="0" w:space="0" w:color="auto"/>
                                        <w:right w:val="none" w:sz="0" w:space="0" w:color="auto"/>
                                      </w:divBdr>
                                      <w:divsChild>
                                        <w:div w:id="1436363578">
                                          <w:marLeft w:val="0"/>
                                          <w:marRight w:val="0"/>
                                          <w:marTop w:val="0"/>
                                          <w:marBottom w:val="0"/>
                                          <w:divBdr>
                                            <w:top w:val="none" w:sz="0" w:space="0" w:color="auto"/>
                                            <w:left w:val="none" w:sz="0" w:space="0" w:color="auto"/>
                                            <w:bottom w:val="none" w:sz="0" w:space="0" w:color="auto"/>
                                            <w:right w:val="none" w:sz="0" w:space="0" w:color="auto"/>
                                          </w:divBdr>
                                          <w:divsChild>
                                            <w:div w:id="12113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393496">
              <w:marLeft w:val="0"/>
              <w:marRight w:val="0"/>
              <w:marTop w:val="0"/>
              <w:marBottom w:val="0"/>
              <w:divBdr>
                <w:top w:val="none" w:sz="0" w:space="0" w:color="auto"/>
                <w:left w:val="none" w:sz="0" w:space="0" w:color="auto"/>
                <w:bottom w:val="none" w:sz="0" w:space="0" w:color="auto"/>
                <w:right w:val="none" w:sz="0" w:space="0" w:color="auto"/>
              </w:divBdr>
              <w:divsChild>
                <w:div w:id="1196695936">
                  <w:marLeft w:val="0"/>
                  <w:marRight w:val="0"/>
                  <w:marTop w:val="0"/>
                  <w:marBottom w:val="0"/>
                  <w:divBdr>
                    <w:top w:val="none" w:sz="0" w:space="0" w:color="auto"/>
                    <w:left w:val="none" w:sz="0" w:space="0" w:color="auto"/>
                    <w:bottom w:val="none" w:sz="0" w:space="0" w:color="auto"/>
                    <w:right w:val="none" w:sz="0" w:space="0" w:color="auto"/>
                  </w:divBdr>
                  <w:divsChild>
                    <w:div w:id="557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636639">
      <w:bodyDiv w:val="1"/>
      <w:marLeft w:val="0"/>
      <w:marRight w:val="0"/>
      <w:marTop w:val="0"/>
      <w:marBottom w:val="0"/>
      <w:divBdr>
        <w:top w:val="none" w:sz="0" w:space="0" w:color="auto"/>
        <w:left w:val="none" w:sz="0" w:space="0" w:color="auto"/>
        <w:bottom w:val="none" w:sz="0" w:space="0" w:color="auto"/>
        <w:right w:val="none" w:sz="0" w:space="0" w:color="auto"/>
      </w:divBdr>
    </w:div>
    <w:div w:id="1314603605">
      <w:bodyDiv w:val="1"/>
      <w:marLeft w:val="0"/>
      <w:marRight w:val="0"/>
      <w:marTop w:val="0"/>
      <w:marBottom w:val="0"/>
      <w:divBdr>
        <w:top w:val="none" w:sz="0" w:space="0" w:color="auto"/>
        <w:left w:val="none" w:sz="0" w:space="0" w:color="auto"/>
        <w:bottom w:val="none" w:sz="0" w:space="0" w:color="auto"/>
        <w:right w:val="none" w:sz="0" w:space="0" w:color="auto"/>
      </w:divBdr>
    </w:div>
    <w:div w:id="1423838044">
      <w:bodyDiv w:val="1"/>
      <w:marLeft w:val="0"/>
      <w:marRight w:val="0"/>
      <w:marTop w:val="0"/>
      <w:marBottom w:val="0"/>
      <w:divBdr>
        <w:top w:val="none" w:sz="0" w:space="0" w:color="auto"/>
        <w:left w:val="none" w:sz="0" w:space="0" w:color="auto"/>
        <w:bottom w:val="none" w:sz="0" w:space="0" w:color="auto"/>
        <w:right w:val="none" w:sz="0" w:space="0" w:color="auto"/>
      </w:divBdr>
    </w:div>
    <w:div w:id="1606234432">
      <w:bodyDiv w:val="1"/>
      <w:marLeft w:val="0"/>
      <w:marRight w:val="0"/>
      <w:marTop w:val="0"/>
      <w:marBottom w:val="0"/>
      <w:divBdr>
        <w:top w:val="none" w:sz="0" w:space="0" w:color="auto"/>
        <w:left w:val="none" w:sz="0" w:space="0" w:color="auto"/>
        <w:bottom w:val="none" w:sz="0" w:space="0" w:color="auto"/>
        <w:right w:val="none" w:sz="0" w:space="0" w:color="auto"/>
      </w:divBdr>
    </w:div>
    <w:div w:id="1616712128">
      <w:bodyDiv w:val="1"/>
      <w:marLeft w:val="0"/>
      <w:marRight w:val="0"/>
      <w:marTop w:val="0"/>
      <w:marBottom w:val="0"/>
      <w:divBdr>
        <w:top w:val="none" w:sz="0" w:space="0" w:color="auto"/>
        <w:left w:val="none" w:sz="0" w:space="0" w:color="auto"/>
        <w:bottom w:val="none" w:sz="0" w:space="0" w:color="auto"/>
        <w:right w:val="none" w:sz="0" w:space="0" w:color="auto"/>
      </w:divBdr>
    </w:div>
    <w:div w:id="1622804879">
      <w:bodyDiv w:val="1"/>
      <w:marLeft w:val="0"/>
      <w:marRight w:val="0"/>
      <w:marTop w:val="0"/>
      <w:marBottom w:val="0"/>
      <w:divBdr>
        <w:top w:val="none" w:sz="0" w:space="0" w:color="auto"/>
        <w:left w:val="none" w:sz="0" w:space="0" w:color="auto"/>
        <w:bottom w:val="none" w:sz="0" w:space="0" w:color="auto"/>
        <w:right w:val="none" w:sz="0" w:space="0" w:color="auto"/>
      </w:divBdr>
    </w:div>
    <w:div w:id="1693530590">
      <w:bodyDiv w:val="1"/>
      <w:marLeft w:val="0"/>
      <w:marRight w:val="0"/>
      <w:marTop w:val="0"/>
      <w:marBottom w:val="0"/>
      <w:divBdr>
        <w:top w:val="none" w:sz="0" w:space="0" w:color="auto"/>
        <w:left w:val="none" w:sz="0" w:space="0" w:color="auto"/>
        <w:bottom w:val="none" w:sz="0" w:space="0" w:color="auto"/>
        <w:right w:val="none" w:sz="0" w:space="0" w:color="auto"/>
      </w:divBdr>
    </w:div>
    <w:div w:id="1752923292">
      <w:bodyDiv w:val="1"/>
      <w:marLeft w:val="0"/>
      <w:marRight w:val="0"/>
      <w:marTop w:val="0"/>
      <w:marBottom w:val="0"/>
      <w:divBdr>
        <w:top w:val="none" w:sz="0" w:space="0" w:color="auto"/>
        <w:left w:val="none" w:sz="0" w:space="0" w:color="auto"/>
        <w:bottom w:val="none" w:sz="0" w:space="0" w:color="auto"/>
        <w:right w:val="none" w:sz="0" w:space="0" w:color="auto"/>
      </w:divBdr>
    </w:div>
    <w:div w:id="1772630604">
      <w:bodyDiv w:val="1"/>
      <w:marLeft w:val="0"/>
      <w:marRight w:val="0"/>
      <w:marTop w:val="0"/>
      <w:marBottom w:val="0"/>
      <w:divBdr>
        <w:top w:val="none" w:sz="0" w:space="0" w:color="auto"/>
        <w:left w:val="none" w:sz="0" w:space="0" w:color="auto"/>
        <w:bottom w:val="none" w:sz="0" w:space="0" w:color="auto"/>
        <w:right w:val="none" w:sz="0" w:space="0" w:color="auto"/>
      </w:divBdr>
    </w:div>
    <w:div w:id="1895501270">
      <w:bodyDiv w:val="1"/>
      <w:marLeft w:val="0"/>
      <w:marRight w:val="0"/>
      <w:marTop w:val="0"/>
      <w:marBottom w:val="0"/>
      <w:divBdr>
        <w:top w:val="none" w:sz="0" w:space="0" w:color="auto"/>
        <w:left w:val="none" w:sz="0" w:space="0" w:color="auto"/>
        <w:bottom w:val="none" w:sz="0" w:space="0" w:color="auto"/>
        <w:right w:val="none" w:sz="0" w:space="0" w:color="auto"/>
      </w:divBdr>
    </w:div>
    <w:div w:id="1929462277">
      <w:bodyDiv w:val="1"/>
      <w:marLeft w:val="0"/>
      <w:marRight w:val="0"/>
      <w:marTop w:val="0"/>
      <w:marBottom w:val="0"/>
      <w:divBdr>
        <w:top w:val="none" w:sz="0" w:space="0" w:color="auto"/>
        <w:left w:val="none" w:sz="0" w:space="0" w:color="auto"/>
        <w:bottom w:val="none" w:sz="0" w:space="0" w:color="auto"/>
        <w:right w:val="none" w:sz="0" w:space="0" w:color="auto"/>
      </w:divBdr>
    </w:div>
    <w:div w:id="2014145917">
      <w:bodyDiv w:val="1"/>
      <w:marLeft w:val="0"/>
      <w:marRight w:val="0"/>
      <w:marTop w:val="0"/>
      <w:marBottom w:val="0"/>
      <w:divBdr>
        <w:top w:val="none" w:sz="0" w:space="0" w:color="auto"/>
        <w:left w:val="none" w:sz="0" w:space="0" w:color="auto"/>
        <w:bottom w:val="none" w:sz="0" w:space="0" w:color="auto"/>
        <w:right w:val="none" w:sz="0" w:space="0" w:color="auto"/>
      </w:divBdr>
    </w:div>
    <w:div w:id="209223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7864/1947.000409"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7864/1947.00050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7864/1947.001367"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D90AF38-225C-45B0-8903-66F93E4512F0}"/>
      </w:docPartPr>
      <w:docPartBody>
        <w:p w:rsidR="00E44E59" w:rsidRDefault="00E44E59">
          <w:r w:rsidRPr="006B54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59"/>
    <w:rsid w:val="000A7469"/>
    <w:rsid w:val="000F48F7"/>
    <w:rsid w:val="001C7A88"/>
    <w:rsid w:val="00224B91"/>
    <w:rsid w:val="002B7368"/>
    <w:rsid w:val="002C7A75"/>
    <w:rsid w:val="002D7CF2"/>
    <w:rsid w:val="00317295"/>
    <w:rsid w:val="004A702B"/>
    <w:rsid w:val="00655A44"/>
    <w:rsid w:val="006F4C29"/>
    <w:rsid w:val="00752E19"/>
    <w:rsid w:val="00840C09"/>
    <w:rsid w:val="00890614"/>
    <w:rsid w:val="009B437C"/>
    <w:rsid w:val="00A46391"/>
    <w:rsid w:val="00B40CBE"/>
    <w:rsid w:val="00CA1523"/>
    <w:rsid w:val="00CA5BA3"/>
    <w:rsid w:val="00CB2AEA"/>
    <w:rsid w:val="00CC7A49"/>
    <w:rsid w:val="00E070BA"/>
    <w:rsid w:val="00E44E59"/>
    <w:rsid w:val="00F50D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F7E18F99B554BA7E8B4CB7D5983E9" ma:contentTypeVersion="14" ma:contentTypeDescription="Create a new document." ma:contentTypeScope="" ma:versionID="1a919b11ed4a9827ab9796d02bd0a8b3">
  <xsd:schema xmlns:xsd="http://www.w3.org/2001/XMLSchema" xmlns:xs="http://www.w3.org/2001/XMLSchema" xmlns:p="http://schemas.microsoft.com/office/2006/metadata/properties" xmlns:ns3="2e76a080-e978-4c6f-9404-9a08901db6cb" xmlns:ns4="14021365-9c4a-42c7-9af8-2b2d04039a8f" targetNamespace="http://schemas.microsoft.com/office/2006/metadata/properties" ma:root="true" ma:fieldsID="c950d43cf7cf0b8a828b59f59b84fda6" ns3:_="" ns4:_="">
    <xsd:import namespace="2e76a080-e978-4c6f-9404-9a08901db6cb"/>
    <xsd:import namespace="14021365-9c4a-42c7-9af8-2b2d04039a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6a080-e978-4c6f-9404-9a08901db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021365-9c4a-42c7-9af8-2b2d04039a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6C04B-0865-4260-8E16-8A92E2BCB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6a080-e978-4c6f-9404-9a08901db6cb"/>
    <ds:schemaRef ds:uri="14021365-9c4a-42c7-9af8-2b2d04039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EDF32-36F9-4A57-A996-1FE45009C8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236770-B94B-4939-A279-BBD1C8CB972B}">
  <ds:schemaRefs>
    <ds:schemaRef ds:uri="http://schemas.openxmlformats.org/officeDocument/2006/bibliography"/>
  </ds:schemaRefs>
</ds:datastoreItem>
</file>

<file path=customXml/itemProps4.xml><?xml version="1.0" encoding="utf-8"?>
<ds:datastoreItem xmlns:ds="http://schemas.openxmlformats.org/officeDocument/2006/customXml" ds:itemID="{43431DC1-682F-41C1-8BCF-6BE6819D7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Harrison</dc:creator>
  <cp:keywords/>
  <dc:description/>
  <cp:lastModifiedBy>Sophie Dorman</cp:lastModifiedBy>
  <cp:revision>2</cp:revision>
  <cp:lastPrinted>2022-02-18T18:46:00Z</cp:lastPrinted>
  <dcterms:created xsi:type="dcterms:W3CDTF">2024-11-15T14:08:00Z</dcterms:created>
  <dcterms:modified xsi:type="dcterms:W3CDTF">2024-11-15T14:08:00Z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0x0101006C2F7E18F99B554BA7E8B4CB7D5983E9</vt:lpwstr>
  </property>
</Properties>
</file>