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E11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C2F1899"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1. ABOUT THE DATASET</w:t>
      </w:r>
    </w:p>
    <w:p w14:paraId="15CF941B"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57718036"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8507E7F"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Title:</w:t>
      </w:r>
      <w:r w:rsidRPr="00663AC5">
        <w:rPr>
          <w:rFonts w:ascii="Courier New" w:eastAsia="Times New Roman" w:hAnsi="Courier New" w:cs="Courier New"/>
          <w:sz w:val="20"/>
          <w:szCs w:val="20"/>
          <w:lang w:eastAsia="en-GB"/>
        </w:rPr>
        <w:tab/>
      </w:r>
      <w:r w:rsidR="00E54E8C">
        <w:rPr>
          <w:rFonts w:ascii="Courier New" w:eastAsia="Times New Roman" w:hAnsi="Courier New" w:cs="Courier New"/>
          <w:sz w:val="20"/>
          <w:szCs w:val="20"/>
          <w:lang w:eastAsia="en-GB"/>
        </w:rPr>
        <w:t>Anatomy of a Ritual: An examination of Romano-British ritual through the lens of the Nescot College shaft in Ewell, Surrey, England. Raw data.</w:t>
      </w:r>
    </w:p>
    <w:p w14:paraId="031190A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3E7FBB6"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Creator(s): </w:t>
      </w:r>
      <w:r>
        <w:rPr>
          <w:rFonts w:ascii="Courier New" w:eastAsia="Times New Roman" w:hAnsi="Courier New" w:cs="Courier New"/>
          <w:sz w:val="20"/>
          <w:szCs w:val="20"/>
          <w:lang w:eastAsia="en-GB"/>
        </w:rPr>
        <w:t>Ellen Green (</w:t>
      </w:r>
      <w:r w:rsidRPr="00663AC5">
        <w:rPr>
          <w:rFonts w:ascii="Courier New" w:eastAsia="Times New Roman" w:hAnsi="Courier New" w:cs="Courier New"/>
          <w:sz w:val="20"/>
          <w:szCs w:val="20"/>
          <w:lang w:eastAsia="en-GB"/>
        </w:rPr>
        <w:t>https://orcid.org/0009-0006-0621-0553</w:t>
      </w:r>
      <w:r>
        <w:rPr>
          <w:rFonts w:ascii="Courier New" w:eastAsia="Times New Roman" w:hAnsi="Courier New" w:cs="Courier New"/>
          <w:sz w:val="20"/>
          <w:szCs w:val="20"/>
          <w:lang w:eastAsia="en-GB"/>
        </w:rPr>
        <w:t>)</w:t>
      </w:r>
    </w:p>
    <w:p w14:paraId="05B05E2C"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A197B6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Organisation(s): University of Reading.</w:t>
      </w:r>
    </w:p>
    <w:p w14:paraId="1EA0DC57"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C31C3FC"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Rights-holder(s):</w:t>
      </w:r>
      <w:r>
        <w:rPr>
          <w:rFonts w:ascii="Courier New" w:eastAsia="Times New Roman" w:hAnsi="Courier New" w:cs="Courier New"/>
          <w:sz w:val="20"/>
          <w:szCs w:val="20"/>
          <w:lang w:eastAsia="en-GB"/>
        </w:rPr>
        <w:t xml:space="preserve"> Ellen Green</w:t>
      </w:r>
    </w:p>
    <w:p w14:paraId="3C384DE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7104E1C"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Publication Year:</w:t>
      </w:r>
      <w:r>
        <w:rPr>
          <w:rFonts w:ascii="Courier New" w:eastAsia="Times New Roman" w:hAnsi="Courier New" w:cs="Courier New"/>
          <w:sz w:val="20"/>
          <w:szCs w:val="20"/>
          <w:lang w:eastAsia="en-GB"/>
        </w:rPr>
        <w:t xml:space="preserve"> 2025</w:t>
      </w:r>
    </w:p>
    <w:p w14:paraId="279169CE"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82EBCDC" w14:textId="66BC21E8" w:rsidR="00663AC5" w:rsidRDefault="00663AC5" w:rsidP="000B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Description: </w:t>
      </w:r>
      <w:r w:rsidR="000B08FF" w:rsidRPr="000B08FF">
        <w:rPr>
          <w:rFonts w:ascii="Courier New" w:eastAsia="Times New Roman" w:hAnsi="Courier New" w:cs="Courier New"/>
          <w:sz w:val="20"/>
          <w:szCs w:val="20"/>
          <w:lang w:eastAsia="en-GB"/>
        </w:rPr>
        <w:t>Data on the human and animal remains recovered from the Former Nescot College Animal Husbandry Site in Ewell Surrey. The remains date to the late 1st Century CE/ early 2nd Century CE. Data was collected to investigate the ritual processes involved in creating the assemblage. Raw data includes: site code, context number, context type, species, anatomical element, side, zonation (following Knüsel and Outram 2004 and Dobney and Reilly 1988), state of fusion, butchery, gnawing, root etching, abrasion/erosion (following McKinley 2014), post and peri-mortem fractures, pathology, age (where possible), sex (where possible), Oxford histological index (where applicable), articulated/disarticulated (where known), Notes: macroscopic, Notes: microscopic (where applicable), Box number, Associated Bone Group (ABG) number, was a photo taken.</w:t>
      </w:r>
    </w:p>
    <w:p w14:paraId="3E3A5404" w14:textId="77777777" w:rsidR="000B08FF" w:rsidRPr="00663AC5" w:rsidRDefault="000B08FF" w:rsidP="000B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41012BE" w14:textId="0B023699"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Cite as: </w:t>
      </w:r>
      <w:r w:rsidR="000B08FF">
        <w:rPr>
          <w:rFonts w:ascii="Courier New" w:eastAsia="Times New Roman" w:hAnsi="Courier New" w:cs="Courier New"/>
          <w:sz w:val="20"/>
          <w:szCs w:val="20"/>
          <w:lang w:eastAsia="en-GB"/>
        </w:rPr>
        <w:t>Green, E.</w:t>
      </w:r>
      <w:r w:rsidR="000B08FF" w:rsidRPr="00663AC5">
        <w:rPr>
          <w:rFonts w:ascii="Courier New" w:eastAsia="Times New Roman" w:hAnsi="Courier New" w:cs="Courier New"/>
          <w:sz w:val="20"/>
          <w:szCs w:val="20"/>
          <w:lang w:eastAsia="en-GB"/>
        </w:rPr>
        <w:t>(</w:t>
      </w:r>
      <w:r w:rsidR="000B08FF">
        <w:rPr>
          <w:rFonts w:ascii="Courier New" w:eastAsia="Times New Roman" w:hAnsi="Courier New" w:cs="Courier New"/>
          <w:sz w:val="20"/>
          <w:szCs w:val="20"/>
          <w:lang w:eastAsia="en-GB"/>
        </w:rPr>
        <w:t>2025) Anatomy of a ritual: an examination of Romano-British ritual through the lens of the Nescot College shaft in Ewell, Surrey, England. Raw data</w:t>
      </w:r>
      <w:r w:rsidR="000B08FF" w:rsidRPr="00663AC5">
        <w:rPr>
          <w:rFonts w:ascii="Courier New" w:eastAsia="Times New Roman" w:hAnsi="Courier New" w:cs="Courier New"/>
          <w:sz w:val="20"/>
          <w:szCs w:val="20"/>
          <w:lang w:eastAsia="en-GB"/>
        </w:rPr>
        <w:t xml:space="preserve">. University of Reading. Dataset. </w:t>
      </w:r>
      <w:hyperlink r:id="rId5" w:tgtFrame="_blank" w:history="1">
        <w:r w:rsidR="000B08FF" w:rsidRPr="00A87470">
          <w:rPr>
            <w:rStyle w:val="Hyperlink"/>
            <w:rFonts w:ascii="Courier New" w:eastAsia="Times New Roman" w:hAnsi="Courier New" w:cs="Courier New"/>
            <w:sz w:val="20"/>
            <w:szCs w:val="20"/>
            <w:lang w:eastAsia="en-GB"/>
          </w:rPr>
          <w:t>https://doi.org/10.17864/1947.001385</w:t>
        </w:r>
      </w:hyperlink>
    </w:p>
    <w:p w14:paraId="27AC0686"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0D831421" w14:textId="77777777" w:rsid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Related publication: </w:t>
      </w:r>
    </w:p>
    <w:p w14:paraId="78A7FA78" w14:textId="77777777" w:rsidR="00B51C88" w:rsidRDefault="00B51C88"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F40CE8B"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2023. ‘Death shall not part us: a potential case of the curation of human remains from Roman Ewell’ </w:t>
      </w:r>
      <w:r w:rsidRPr="00B51C88">
        <w:rPr>
          <w:rFonts w:ascii="Courier New" w:eastAsia="Times New Roman" w:hAnsi="Courier New" w:cs="Courier New"/>
          <w:i/>
          <w:sz w:val="20"/>
          <w:szCs w:val="20"/>
          <w:lang w:eastAsia="en-GB"/>
        </w:rPr>
        <w:t>Surrey Archaeological Collections</w:t>
      </w:r>
      <w:r w:rsidRPr="00B51C88">
        <w:rPr>
          <w:rFonts w:ascii="Courier New" w:eastAsia="Times New Roman" w:hAnsi="Courier New" w:cs="Courier New"/>
          <w:sz w:val="20"/>
          <w:szCs w:val="20"/>
          <w:lang w:eastAsia="en-GB"/>
        </w:rPr>
        <w:t xml:space="preserve"> 105, 65-73.</w:t>
      </w:r>
    </w:p>
    <w:p w14:paraId="54409B90"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D9CC0D3" w14:textId="77777777" w:rsid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2024. ‘Fragmented analysis, fragmented interpretation: The necessity of integrated faunal and human analysis for identifying and understanding ritual contexts’ </w:t>
      </w:r>
      <w:r w:rsidRPr="00B51C88">
        <w:rPr>
          <w:rFonts w:ascii="Courier New" w:eastAsia="Times New Roman" w:hAnsi="Courier New" w:cs="Courier New"/>
          <w:i/>
          <w:sz w:val="20"/>
          <w:szCs w:val="20"/>
          <w:lang w:eastAsia="en-GB"/>
        </w:rPr>
        <w:t>Journal of Archaeological Science: Reports</w:t>
      </w:r>
      <w:r w:rsidRPr="00B51C88">
        <w:rPr>
          <w:rFonts w:ascii="Courier New" w:eastAsia="Times New Roman" w:hAnsi="Courier New" w:cs="Courier New"/>
          <w:sz w:val="20"/>
          <w:szCs w:val="20"/>
          <w:lang w:eastAsia="en-GB"/>
        </w:rPr>
        <w:t xml:space="preserve"> 58, 104697</w:t>
      </w:r>
    </w:p>
    <w:p w14:paraId="119E2C82"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C1E2022" w14:textId="77777777" w:rsidR="00B51C88" w:rsidRPr="00663AC5"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w:t>
      </w:r>
      <w:r>
        <w:rPr>
          <w:rFonts w:ascii="Courier New" w:eastAsia="Times New Roman" w:hAnsi="Courier New" w:cs="Courier New"/>
          <w:sz w:val="20"/>
          <w:szCs w:val="20"/>
          <w:lang w:eastAsia="en-GB"/>
        </w:rPr>
        <w:t>2024</w:t>
      </w:r>
      <w:r w:rsidRPr="00B51C88">
        <w:rPr>
          <w:rFonts w:ascii="Courier New" w:eastAsia="Times New Roman" w:hAnsi="Courier New" w:cs="Courier New"/>
          <w:sz w:val="20"/>
          <w:szCs w:val="20"/>
          <w:lang w:eastAsia="en-GB"/>
        </w:rPr>
        <w:t>. ‘Life from death: Multi-species fertility rituals within a Romano-British ritual shaft in southern England’ Oxford Journal of Archaeol</w:t>
      </w:r>
      <w:r>
        <w:rPr>
          <w:rFonts w:ascii="Courier New" w:eastAsia="Times New Roman" w:hAnsi="Courier New" w:cs="Courier New"/>
          <w:sz w:val="20"/>
          <w:szCs w:val="20"/>
          <w:lang w:eastAsia="en-GB"/>
        </w:rPr>
        <w:t>ogy 44 (1), 101-118.</w:t>
      </w:r>
    </w:p>
    <w:p w14:paraId="2AC3BF4D"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28EA5B2"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Green, E. In Press. ‘The body mine: a review of human remains within Romano-British well and shaft deposits and evidence of multi-stage mortuary ritual in first century AD Surrey’ Britannia. (Accepted)</w:t>
      </w:r>
    </w:p>
    <w:p w14:paraId="25776466"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0536283" w14:textId="45F27F55" w:rsidR="00B51C88" w:rsidRPr="00B51C88" w:rsidRDefault="00B51C88" w:rsidP="0035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w:t>
      </w:r>
      <w:r w:rsidR="003573B2">
        <w:rPr>
          <w:rFonts w:ascii="Courier New" w:eastAsia="Times New Roman" w:hAnsi="Courier New" w:cs="Courier New"/>
          <w:sz w:val="20"/>
          <w:szCs w:val="20"/>
          <w:lang w:eastAsia="en-GB"/>
        </w:rPr>
        <w:t>2025</w:t>
      </w:r>
      <w:r w:rsidRPr="00B51C88">
        <w:rPr>
          <w:rFonts w:ascii="Courier New" w:eastAsia="Times New Roman" w:hAnsi="Courier New" w:cs="Courier New"/>
          <w:sz w:val="20"/>
          <w:szCs w:val="20"/>
          <w:lang w:eastAsia="en-GB"/>
        </w:rPr>
        <w:t>. ‘The pathology of sacrifice: dogs from an early Roman ‘ritual’ shaft in southern England’ International Journal of Paleopathology</w:t>
      </w:r>
      <w:r w:rsidR="003573B2">
        <w:rPr>
          <w:rFonts w:ascii="Courier New" w:eastAsia="Times New Roman" w:hAnsi="Courier New" w:cs="Courier New"/>
          <w:sz w:val="20"/>
          <w:szCs w:val="20"/>
          <w:lang w:eastAsia="en-GB"/>
        </w:rPr>
        <w:t xml:space="preserve"> 49, </w:t>
      </w:r>
      <w:r w:rsidR="003573B2" w:rsidRPr="003573B2">
        <w:rPr>
          <w:rFonts w:ascii="Courier New" w:eastAsia="Times New Roman" w:hAnsi="Courier New" w:cs="Courier New"/>
          <w:sz w:val="20"/>
          <w:szCs w:val="20"/>
          <w:lang w:eastAsia="en-GB"/>
        </w:rPr>
        <w:t>37-49</w:t>
      </w:r>
    </w:p>
    <w:p w14:paraId="49F7240A"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92E759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660FEA9"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Contact: </w:t>
      </w:r>
      <w:r w:rsidR="00650E7C">
        <w:rPr>
          <w:rFonts w:ascii="Courier New" w:eastAsia="Times New Roman" w:hAnsi="Courier New" w:cs="Courier New"/>
          <w:sz w:val="20"/>
          <w:szCs w:val="20"/>
          <w:lang w:eastAsia="en-GB"/>
        </w:rPr>
        <w:t>Green.Ellenjane@gmail.com</w:t>
      </w:r>
    </w:p>
    <w:p w14:paraId="02168213"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488BCF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lastRenderedPageBreak/>
        <w:t xml:space="preserve">Acknowledgements: </w:t>
      </w:r>
      <w:r w:rsidR="00650E7C">
        <w:rPr>
          <w:rFonts w:ascii="Courier New" w:eastAsia="Times New Roman" w:hAnsi="Courier New" w:cs="Courier New"/>
          <w:sz w:val="20"/>
          <w:szCs w:val="20"/>
          <w:lang w:eastAsia="en-GB"/>
        </w:rPr>
        <w:t xml:space="preserve">Thank you to PCA for letting me access the site archive and material, and to Duncan Garrow and Mary Lewis for their advice and support. </w:t>
      </w:r>
    </w:p>
    <w:p w14:paraId="7CC51934"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064E4D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9AAE265"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2. TERMS OF USE</w:t>
      </w:r>
    </w:p>
    <w:p w14:paraId="1BBC0693"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1754ECA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D2C8AA5" w14:textId="77777777" w:rsidR="000B08FF" w:rsidRPr="00663AC5" w:rsidRDefault="000B08FF" w:rsidP="000B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Copyright </w:t>
      </w:r>
      <w:r>
        <w:rPr>
          <w:rFonts w:ascii="Courier New" w:eastAsia="Times New Roman" w:hAnsi="Courier New" w:cs="Courier New"/>
          <w:sz w:val="20"/>
          <w:szCs w:val="20"/>
          <w:lang w:eastAsia="en-GB"/>
        </w:rPr>
        <w:t xml:space="preserve">2025 Ellen Green. </w:t>
      </w:r>
      <w:r w:rsidRPr="00663AC5">
        <w:rPr>
          <w:rFonts w:ascii="Courier New" w:eastAsia="Times New Roman" w:hAnsi="Courier New" w:cs="Courier New"/>
          <w:sz w:val="20"/>
          <w:szCs w:val="20"/>
          <w:lang w:eastAsia="en-GB"/>
        </w:rPr>
        <w:t>This dataset is licensed under a Creative Commons Attribution 4.0 International Licence: https://creativecommons.org/licenses/by/4.0/.</w:t>
      </w:r>
    </w:p>
    <w:p w14:paraId="060D311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3203A2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66305D7"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3. PROJECT AND FUNDING INFORMATION</w:t>
      </w:r>
    </w:p>
    <w:p w14:paraId="5FE3DAA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43471DF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A547D05"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Title: </w:t>
      </w:r>
      <w:r w:rsidR="00650E7C">
        <w:rPr>
          <w:rFonts w:ascii="Courier New" w:eastAsia="Times New Roman" w:hAnsi="Courier New" w:cs="Courier New"/>
          <w:sz w:val="20"/>
          <w:szCs w:val="20"/>
          <w:lang w:eastAsia="en-GB"/>
        </w:rPr>
        <w:t>Anatomy of a Ritual: An examination of Romano-British ritual through the lens of the Nescot College shaft in Ewell, Surrey, England (PhD project)</w:t>
      </w:r>
    </w:p>
    <w:p w14:paraId="364CF3D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132924F"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Dates: </w:t>
      </w:r>
      <w:r w:rsidR="00650E7C">
        <w:rPr>
          <w:rFonts w:ascii="Courier New" w:eastAsia="Times New Roman" w:hAnsi="Courier New" w:cs="Courier New"/>
          <w:sz w:val="20"/>
          <w:szCs w:val="20"/>
          <w:lang w:eastAsia="en-GB"/>
        </w:rPr>
        <w:t>September 2020- January 2025</w:t>
      </w:r>
    </w:p>
    <w:p w14:paraId="4C23C46E"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33380B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Funding organisation: </w:t>
      </w:r>
      <w:r w:rsidR="00650E7C">
        <w:rPr>
          <w:rFonts w:ascii="Courier New" w:eastAsia="Times New Roman" w:hAnsi="Courier New" w:cs="Courier New"/>
          <w:sz w:val="20"/>
          <w:szCs w:val="20"/>
          <w:lang w:eastAsia="en-GB"/>
        </w:rPr>
        <w:t>None</w:t>
      </w:r>
    </w:p>
    <w:p w14:paraId="39DE7ECB"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7B30B10"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r w:rsidRPr="000B08FF">
        <w:rPr>
          <w:rFonts w:ascii="Courier New" w:eastAsia="Times New Roman" w:hAnsi="Courier New" w:cs="Courier New"/>
          <w:sz w:val="20"/>
          <w:szCs w:val="20"/>
          <w:lang w:val="pt-PT" w:eastAsia="en-GB"/>
        </w:rPr>
        <w:t>Grant no.:</w:t>
      </w:r>
      <w:r w:rsidR="00650E7C" w:rsidRPr="000B08FF">
        <w:rPr>
          <w:rFonts w:ascii="Courier New" w:eastAsia="Times New Roman" w:hAnsi="Courier New" w:cs="Courier New"/>
          <w:sz w:val="20"/>
          <w:szCs w:val="20"/>
          <w:lang w:val="pt-PT" w:eastAsia="en-GB"/>
        </w:rPr>
        <w:t xml:space="preserve"> N/A</w:t>
      </w:r>
    </w:p>
    <w:p w14:paraId="1ABC2C12"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p>
    <w:p w14:paraId="3FF37E6A"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p>
    <w:p w14:paraId="7B45741B"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p>
    <w:p w14:paraId="32843A94"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r w:rsidRPr="000B08FF">
        <w:rPr>
          <w:rFonts w:ascii="Courier New" w:eastAsia="Times New Roman" w:hAnsi="Courier New" w:cs="Courier New"/>
          <w:sz w:val="20"/>
          <w:szCs w:val="20"/>
          <w:lang w:val="pt-PT" w:eastAsia="en-GB"/>
        </w:rPr>
        <w:t>4. CONTENTS</w:t>
      </w:r>
    </w:p>
    <w:p w14:paraId="15C80288"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r w:rsidRPr="000B08FF">
        <w:rPr>
          <w:rFonts w:ascii="Courier New" w:eastAsia="Times New Roman" w:hAnsi="Courier New" w:cs="Courier New"/>
          <w:sz w:val="20"/>
          <w:szCs w:val="20"/>
          <w:lang w:val="pt-PT" w:eastAsia="en-GB"/>
        </w:rPr>
        <w:t>------------</w:t>
      </w:r>
    </w:p>
    <w:p w14:paraId="3515C8D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File listing</w:t>
      </w:r>
    </w:p>
    <w:p w14:paraId="1FC5B04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E07552C" w14:textId="77777777" w:rsidR="00663AC5" w:rsidRDefault="00C840F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Nescot_</w:t>
      </w:r>
      <w:r w:rsidR="00650E7C">
        <w:rPr>
          <w:rFonts w:ascii="Courier New" w:eastAsia="Times New Roman" w:hAnsi="Courier New" w:cs="Courier New"/>
          <w:sz w:val="20"/>
          <w:szCs w:val="20"/>
          <w:lang w:eastAsia="en-GB"/>
        </w:rPr>
        <w:t>Database.xlsx</w:t>
      </w:r>
    </w:p>
    <w:p w14:paraId="7A5B7596" w14:textId="77777777" w:rsidR="00650E7C" w:rsidRPr="00663AC5" w:rsidRDefault="00650E7C"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1BAFE65"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If relevant, include here any codebook or data dictionary for the dataset or constituent files, providing the following information as required:</w:t>
      </w:r>
    </w:p>
    <w:p w14:paraId="1DBE28C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32E5991" w14:textId="77777777" w:rsidR="00663AC5" w:rsidRDefault="00663AC5"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 </w:t>
      </w:r>
      <w:r w:rsidR="00BE3B44">
        <w:rPr>
          <w:rFonts w:ascii="Courier New" w:eastAsia="Times New Roman" w:hAnsi="Courier New" w:cs="Courier New"/>
          <w:sz w:val="20"/>
          <w:szCs w:val="20"/>
          <w:lang w:eastAsia="en-GB"/>
        </w:rPr>
        <w:t>11956 rows</w:t>
      </w:r>
    </w:p>
    <w:p w14:paraId="442EE744"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- 22 variables (site code, context number, context type, species, anatomical element, side, zonation (following Knüsel and Outram 2004), state of fusion, butchery, gnawing, root etching, abrasion/erosion (following McKinley 2014</w:t>
      </w:r>
      <w:r w:rsidR="00973AC0">
        <w:rPr>
          <w:rFonts w:ascii="Courier New" w:eastAsia="Times New Roman" w:hAnsi="Courier New" w:cs="Courier New"/>
          <w:sz w:val="20"/>
          <w:szCs w:val="20"/>
          <w:lang w:eastAsia="en-GB"/>
        </w:rPr>
        <w:t xml:space="preserve"> and </w:t>
      </w:r>
      <w:r w:rsidR="00973AC0" w:rsidRPr="00973AC0">
        <w:rPr>
          <w:rFonts w:ascii="Courier New" w:eastAsia="Times New Roman" w:hAnsi="Courier New" w:cs="Courier New"/>
          <w:sz w:val="20"/>
          <w:szCs w:val="20"/>
          <w:lang w:eastAsia="en-GB"/>
        </w:rPr>
        <w:t>Dobney and Reilly 1988</w:t>
      </w:r>
      <w:r>
        <w:rPr>
          <w:rFonts w:ascii="Courier New" w:eastAsia="Times New Roman" w:hAnsi="Courier New" w:cs="Courier New"/>
          <w:sz w:val="20"/>
          <w:szCs w:val="20"/>
          <w:lang w:eastAsia="en-GB"/>
        </w:rPr>
        <w:t>), post and peri-mortem fractures, pathology, age (where possible), sex (where possible), Oxford histological index (where applicable), articulated/disarticulated (where known), Notes: macroscopic, Notes: microscopic (where applicable), Box number, Associated Bone Group (ABG) number, was a photo taken</w:t>
      </w:r>
    </w:p>
    <w:p w14:paraId="566B0281"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24BF0CB"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Abbreviations used:</w:t>
      </w:r>
    </w:p>
    <w:p w14:paraId="16618519"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Ff = fully fused</w:t>
      </w:r>
    </w:p>
    <w:p w14:paraId="363BD265"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Pf = partially fused</w:t>
      </w:r>
    </w:p>
    <w:p w14:paraId="30033D04"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Uf = unfused</w:t>
      </w:r>
    </w:p>
    <w:p w14:paraId="07489182"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Na = not applicable</w:t>
      </w:r>
    </w:p>
    <w:p w14:paraId="0602CD8B"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Y = present</w:t>
      </w:r>
    </w:p>
    <w:p w14:paraId="34941282"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N = not present</w:t>
      </w:r>
    </w:p>
    <w:p w14:paraId="2F96C3DE"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OHI = Oxford histological index</w:t>
      </w:r>
    </w:p>
    <w:p w14:paraId="45E4EFCB" w14:textId="77777777" w:rsidR="00BE3B44" w:rsidRPr="00663AC5"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R = right</w:t>
      </w:r>
    </w:p>
    <w:p w14:paraId="7AD017E8" w14:textId="77777777" w:rsidR="00663AC5"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L = left</w:t>
      </w:r>
    </w:p>
    <w:p w14:paraId="1C322555"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Artic = Articulated</w:t>
      </w:r>
    </w:p>
    <w:p w14:paraId="4ACEDFB5"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Disartic = Disarticulated</w:t>
      </w:r>
    </w:p>
    <w:p w14:paraId="7D68F492"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Macro = Macroscopic</w:t>
      </w:r>
    </w:p>
    <w:p w14:paraId="3E7B92BB"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Micro = Microscopic</w:t>
      </w:r>
    </w:p>
    <w:p w14:paraId="25B8D5FE"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lastRenderedPageBreak/>
        <w:t>MC = Metacarpal</w:t>
      </w:r>
    </w:p>
    <w:p w14:paraId="3EF644BE"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MT = Metatarsal</w:t>
      </w:r>
    </w:p>
    <w:p w14:paraId="08B81434"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 Molar</w:t>
      </w:r>
    </w:p>
    <w:p w14:paraId="18EBC6F1"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PM = Premolar</w:t>
      </w:r>
    </w:p>
    <w:p w14:paraId="283BB9EF"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I = indeterminate</w:t>
      </w:r>
    </w:p>
    <w:p w14:paraId="1658CA03" w14:textId="77777777" w:rsidR="00BE3B44" w:rsidRPr="00663AC5"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T = Tarsal</w:t>
      </w:r>
    </w:p>
    <w:p w14:paraId="674A93CE"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31520F3"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5. METHODS</w:t>
      </w:r>
    </w:p>
    <w:p w14:paraId="4C9DDF5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5F8D2CD8"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5FE556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[This section should describe how the dataset was generated. The following information should be included as relevant:</w:t>
      </w:r>
    </w:p>
    <w:p w14:paraId="49201335" w14:textId="77777777" w:rsid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E8DC592"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-All bones were visually inspected with the naked eye and the use of a magnifying glass.</w:t>
      </w:r>
    </w:p>
    <w:p w14:paraId="4FE172C4"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6FCA571"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A small subset (n=8) bones were examined microscopically using a optical microscope to assess bioerrosion. D</w:t>
      </w:r>
      <w:r w:rsidR="00E85727">
        <w:rPr>
          <w:rFonts w:ascii="Courier New" w:eastAsia="Times New Roman" w:hAnsi="Courier New" w:cs="Courier New"/>
          <w:sz w:val="20"/>
          <w:szCs w:val="20"/>
          <w:lang w:eastAsia="en-GB"/>
        </w:rPr>
        <w:t>etails of this can be found in Green, in press.</w:t>
      </w:r>
    </w:p>
    <w:p w14:paraId="7563AA8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0B91EC04"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Species</w:t>
      </w:r>
      <w:r w:rsidRPr="00973AC0">
        <w:rPr>
          <w:rFonts w:ascii="Courier New" w:eastAsia="Times New Roman" w:hAnsi="Courier New" w:cs="Courier New"/>
          <w:sz w:val="20"/>
          <w:szCs w:val="20"/>
          <w:lang w:eastAsia="en-GB"/>
        </w:rPr>
        <w:t xml:space="preserve"> identification was achieved using a combination of the University of Reading reference collection, Hillson 2012, Amorosi 1989, Prummel 1987 and White and Folkens 2005. Undiagnostic fragments were sorted into large mammal and medium mammal where possible. </w:t>
      </w:r>
    </w:p>
    <w:p w14:paraId="78180960"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D2CA35B"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73AC0">
        <w:rPr>
          <w:rFonts w:ascii="Courier New" w:eastAsia="Times New Roman" w:hAnsi="Courier New" w:cs="Courier New"/>
          <w:sz w:val="20"/>
          <w:szCs w:val="20"/>
          <w:lang w:eastAsia="en-GB"/>
        </w:rPr>
        <w:t>Dobney and Reilly 1988</w:t>
      </w:r>
      <w:r>
        <w:rPr>
          <w:rFonts w:ascii="Courier New" w:eastAsia="Times New Roman" w:hAnsi="Courier New" w:cs="Courier New"/>
          <w:sz w:val="20"/>
          <w:szCs w:val="20"/>
          <w:lang w:eastAsia="en-GB"/>
        </w:rPr>
        <w:t xml:space="preserve"> (for faunal)</w:t>
      </w:r>
      <w:r w:rsidRPr="00973AC0">
        <w:rPr>
          <w:rFonts w:ascii="Courier New" w:eastAsia="Times New Roman" w:hAnsi="Courier New" w:cs="Courier New"/>
          <w:sz w:val="20"/>
          <w:szCs w:val="20"/>
          <w:lang w:eastAsia="en-GB"/>
        </w:rPr>
        <w:t xml:space="preserve"> and Knüsel and Outram 2004</w:t>
      </w:r>
      <w:r>
        <w:rPr>
          <w:rFonts w:ascii="Courier New" w:eastAsia="Times New Roman" w:hAnsi="Courier New" w:cs="Courier New"/>
          <w:sz w:val="20"/>
          <w:szCs w:val="20"/>
          <w:lang w:eastAsia="en-GB"/>
        </w:rPr>
        <w:t xml:space="preserve"> (for human)</w:t>
      </w:r>
      <w:r w:rsidRPr="00973AC0">
        <w:rPr>
          <w:rFonts w:ascii="Courier New" w:eastAsia="Times New Roman" w:hAnsi="Courier New" w:cs="Courier New"/>
          <w:sz w:val="20"/>
          <w:szCs w:val="20"/>
          <w:lang w:eastAsia="en-GB"/>
        </w:rPr>
        <w:t xml:space="preserve"> were </w:t>
      </w:r>
      <w:r>
        <w:rPr>
          <w:rFonts w:ascii="Courier New" w:eastAsia="Times New Roman" w:hAnsi="Courier New" w:cs="Courier New"/>
          <w:sz w:val="20"/>
          <w:szCs w:val="20"/>
          <w:lang w:eastAsia="en-GB"/>
        </w:rPr>
        <w:t>used for zonation.</w:t>
      </w:r>
    </w:p>
    <w:p w14:paraId="4483C116"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0D933978"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73AC0">
        <w:rPr>
          <w:rFonts w:ascii="Courier New" w:eastAsia="Times New Roman" w:hAnsi="Courier New" w:cs="Courier New"/>
          <w:sz w:val="20"/>
          <w:szCs w:val="20"/>
          <w:lang w:eastAsia="en-GB"/>
        </w:rPr>
        <w:t>In the case of peri- and post-mortem fractures, the angle, surface texture, and colour of the fracture was recorded, allowing fractures to be sorted into ‘fresh’ fractures (which occurred when the bone contained the majority of its collagen), dry fractures (which occurred when the bone had lost most of its collagen but still within the past), and modern fractures (which occurred either during excavation or post-ex</w:t>
      </w:r>
      <w:r>
        <w:rPr>
          <w:rFonts w:ascii="Courier New" w:eastAsia="Times New Roman" w:hAnsi="Courier New" w:cs="Courier New"/>
          <w:sz w:val="20"/>
          <w:szCs w:val="20"/>
          <w:lang w:eastAsia="en-GB"/>
        </w:rPr>
        <w:t>cavation handling) (Outram 2001</w:t>
      </w:r>
      <w:r w:rsidRPr="00973AC0">
        <w:rPr>
          <w:rFonts w:ascii="Courier New" w:eastAsia="Times New Roman" w:hAnsi="Courier New" w:cs="Courier New"/>
          <w:sz w:val="20"/>
          <w:szCs w:val="20"/>
          <w:lang w:eastAsia="en-GB"/>
        </w:rPr>
        <w:t>.</w:t>
      </w:r>
    </w:p>
    <w:p w14:paraId="64106737"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45492C7"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B8FC86B"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xml:space="preserve">Abrasion and erosion was recorded using </w:t>
      </w:r>
      <w:r w:rsidRPr="00973AC0">
        <w:rPr>
          <w:rFonts w:ascii="Courier New" w:eastAsia="Times New Roman" w:hAnsi="Courier New" w:cs="Courier New"/>
          <w:sz w:val="20"/>
          <w:szCs w:val="20"/>
          <w:lang w:eastAsia="en-GB"/>
        </w:rPr>
        <w:t>McKinley 2004</w:t>
      </w:r>
    </w:p>
    <w:p w14:paraId="76086877"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B9C94E4"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P</w:t>
      </w:r>
      <w:r w:rsidRPr="00973AC0">
        <w:rPr>
          <w:rFonts w:ascii="Courier New" w:eastAsia="Times New Roman" w:hAnsi="Courier New" w:cs="Courier New"/>
          <w:sz w:val="20"/>
          <w:szCs w:val="20"/>
          <w:lang w:eastAsia="en-GB"/>
        </w:rPr>
        <w:t>athological lesions</w:t>
      </w:r>
      <w:r>
        <w:rPr>
          <w:rFonts w:ascii="Courier New" w:eastAsia="Times New Roman" w:hAnsi="Courier New" w:cs="Courier New"/>
          <w:sz w:val="20"/>
          <w:szCs w:val="20"/>
          <w:lang w:eastAsia="en-GB"/>
        </w:rPr>
        <w:t xml:space="preserve"> were recorded f</w:t>
      </w:r>
      <w:r w:rsidRPr="00973AC0">
        <w:rPr>
          <w:rFonts w:ascii="Courier New" w:eastAsia="Times New Roman" w:hAnsi="Courier New" w:cs="Courier New"/>
          <w:sz w:val="20"/>
          <w:szCs w:val="20"/>
          <w:lang w:eastAsia="en-GB"/>
        </w:rPr>
        <w:t>ol</w:t>
      </w:r>
      <w:r>
        <w:rPr>
          <w:rFonts w:ascii="Courier New" w:eastAsia="Times New Roman" w:hAnsi="Courier New" w:cs="Courier New"/>
          <w:sz w:val="20"/>
          <w:szCs w:val="20"/>
          <w:lang w:eastAsia="en-GB"/>
        </w:rPr>
        <w:t>lowing Roberts and Connell 2004</w:t>
      </w:r>
    </w:p>
    <w:p w14:paraId="0108CBD1"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97FD45C"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73AC0">
        <w:rPr>
          <w:rFonts w:ascii="Courier New" w:eastAsia="Times New Roman" w:hAnsi="Courier New" w:cs="Courier New"/>
          <w:sz w:val="20"/>
          <w:szCs w:val="20"/>
          <w:lang w:eastAsia="en-GB"/>
        </w:rPr>
        <w:t>Age estimation was done using epiphyseal fus</w:t>
      </w:r>
      <w:r>
        <w:rPr>
          <w:rFonts w:ascii="Courier New" w:eastAsia="Times New Roman" w:hAnsi="Courier New" w:cs="Courier New"/>
          <w:sz w:val="20"/>
          <w:szCs w:val="20"/>
          <w:lang w:eastAsia="en-GB"/>
        </w:rPr>
        <w:t xml:space="preserve">ion following Scheuer and Black </w:t>
      </w:r>
      <w:r w:rsidRPr="00973AC0">
        <w:rPr>
          <w:rFonts w:ascii="Courier New" w:eastAsia="Times New Roman" w:hAnsi="Courier New" w:cs="Courier New"/>
          <w:sz w:val="20"/>
          <w:szCs w:val="20"/>
          <w:lang w:eastAsia="en-GB"/>
        </w:rPr>
        <w:t>(2000), Sumner-Smith (1966) and Amorosi (1989)</w:t>
      </w:r>
    </w:p>
    <w:p w14:paraId="4802B98B"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B94F2EC"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Sex estimation was only done for the humans, and follow</w:t>
      </w:r>
      <w:r w:rsidR="00E85727">
        <w:rPr>
          <w:rFonts w:ascii="Courier New" w:eastAsia="Times New Roman" w:hAnsi="Courier New" w:cs="Courier New"/>
          <w:sz w:val="20"/>
          <w:szCs w:val="20"/>
          <w:lang w:eastAsia="en-GB"/>
        </w:rPr>
        <w:t xml:space="preserve">ed Buikstra and Uberlaker </w:t>
      </w:r>
      <w:r>
        <w:rPr>
          <w:rFonts w:ascii="Courier New" w:eastAsia="Times New Roman" w:hAnsi="Courier New" w:cs="Courier New"/>
          <w:sz w:val="20"/>
          <w:szCs w:val="20"/>
          <w:lang w:eastAsia="en-GB"/>
        </w:rPr>
        <w:t>1994.</w:t>
      </w:r>
    </w:p>
    <w:p w14:paraId="0C381105"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DF192A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Amorosi, T.</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1989</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A Postcranial Guide to Domestic Neo-natal and Juvenile Mammals: Identification and Aging of Old World Species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Oxford</w:t>
      </w:r>
      <w:r>
        <w:rPr>
          <w:rFonts w:ascii="Open Sans" w:hAnsi="Open Sans" w:cs="Open Sans"/>
          <w:color w:val="1C1D1E"/>
          <w:sz w:val="21"/>
          <w:szCs w:val="21"/>
          <w:shd w:val="clear" w:color="auto" w:fill="FFFFFF"/>
        </w:rPr>
        <w:t>, </w:t>
      </w:r>
      <w:r>
        <w:rPr>
          <w:rStyle w:val="bookseriestitle"/>
          <w:rFonts w:ascii="Open Sans" w:hAnsi="Open Sans" w:cs="Open Sans"/>
          <w:color w:val="1C1D1E"/>
          <w:sz w:val="21"/>
          <w:szCs w:val="21"/>
          <w:shd w:val="clear" w:color="auto" w:fill="FFFFFF"/>
        </w:rPr>
        <w:t>BAR Int. Ser</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533</w:t>
      </w:r>
      <w:r>
        <w:rPr>
          <w:rFonts w:ascii="Open Sans" w:hAnsi="Open Sans" w:cs="Open Sans"/>
          <w:color w:val="1C1D1E"/>
          <w:sz w:val="21"/>
          <w:szCs w:val="21"/>
          <w:shd w:val="clear" w:color="auto" w:fill="FFFFFF"/>
        </w:rPr>
        <w:t>).</w:t>
      </w:r>
    </w:p>
    <w:p w14:paraId="17940675"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24C87EA9"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Buikstra, J.</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Ubelaker, E.</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1994</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Standards for the Data Collection from Human Skeletal Remains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Fayetteville</w:t>
      </w:r>
      <w:r>
        <w:rPr>
          <w:rFonts w:ascii="Open Sans" w:hAnsi="Open Sans" w:cs="Open Sans"/>
          <w:color w:val="1C1D1E"/>
          <w:sz w:val="21"/>
          <w:szCs w:val="21"/>
          <w:shd w:val="clear" w:color="auto" w:fill="FFFFFF"/>
        </w:rPr>
        <w:t>).</w:t>
      </w:r>
    </w:p>
    <w:p w14:paraId="3AAFF02A"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0A9D3BC6"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Dobney, K.</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Rielly, K.</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1988</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A method of recording archaeological animal bones: the use of diagnostic zones</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Circaea</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5</w:t>
      </w:r>
      <w:r>
        <w:rPr>
          <w:rFonts w:ascii="Open Sans" w:hAnsi="Open Sans" w:cs="Open Sans"/>
          <w:color w:val="1C1D1E"/>
          <w:sz w:val="21"/>
          <w:szCs w:val="21"/>
          <w:shd w:val="clear" w:color="auto" w:fill="FFFFFF"/>
        </w:rPr>
        <w:t>(</w:t>
      </w:r>
      <w:r>
        <w:rPr>
          <w:rStyle w:val="citedissue"/>
          <w:rFonts w:ascii="Open Sans" w:hAnsi="Open Sans" w:cs="Open Sans"/>
          <w:color w:val="1C1D1E"/>
          <w:sz w:val="21"/>
          <w:szCs w:val="21"/>
          <w:shd w:val="clear" w:color="auto" w:fill="FFFFFF"/>
        </w:rPr>
        <w:t>2</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79</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96</w:t>
      </w:r>
      <w:r>
        <w:rPr>
          <w:rFonts w:ascii="Open Sans" w:hAnsi="Open Sans" w:cs="Open Sans"/>
          <w:color w:val="1C1D1E"/>
          <w:sz w:val="21"/>
          <w:szCs w:val="21"/>
          <w:shd w:val="clear" w:color="auto" w:fill="FFFFFF"/>
        </w:rPr>
        <w:t>.</w:t>
      </w:r>
    </w:p>
    <w:p w14:paraId="4D0ADD7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34DF0376"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Hillson, S.</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2009</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Mammal Bones and Teeth: An Introductory Guide to Methods of Identification</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New York</w:t>
      </w:r>
      <w:r>
        <w:rPr>
          <w:rFonts w:ascii="Open Sans" w:hAnsi="Open Sans" w:cs="Open Sans"/>
          <w:color w:val="1C1D1E"/>
          <w:sz w:val="21"/>
          <w:szCs w:val="21"/>
          <w:shd w:val="clear" w:color="auto" w:fill="FFFFFF"/>
        </w:rPr>
        <w:t>).</w:t>
      </w:r>
    </w:p>
    <w:p w14:paraId="6A94888D"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5F477C63" w14:textId="77777777" w:rsidR="00E85727" w:rsidRDefault="00E85727" w:rsidP="00E85727">
      <w:pPr>
        <w:shd w:val="clear" w:color="auto" w:fill="FFFFFF"/>
        <w:spacing w:before="100" w:beforeAutospacing="1" w:after="100" w:afterAutospacing="1" w:line="240" w:lineRule="auto"/>
        <w:rPr>
          <w:rFonts w:ascii="Open Sans" w:eastAsia="Times New Roman" w:hAnsi="Open Sans" w:cs="Open Sans"/>
          <w:color w:val="1C1D1E"/>
          <w:sz w:val="21"/>
          <w:szCs w:val="21"/>
          <w:lang w:eastAsia="en-GB"/>
        </w:rPr>
      </w:pPr>
      <w:r w:rsidRPr="00E85727">
        <w:rPr>
          <w:rFonts w:ascii="Open Sans" w:eastAsia="Times New Roman" w:hAnsi="Open Sans" w:cs="Open Sans"/>
          <w:color w:val="1C1D1E"/>
          <w:sz w:val="21"/>
          <w:szCs w:val="21"/>
          <w:lang w:eastAsia="en-GB"/>
        </w:rPr>
        <w:t>Knüsel, C. and Outram, A. 2004: Fragmentation: the zonation method applied to fragmented human remains from archaeological and forensic contexts. </w:t>
      </w:r>
      <w:r w:rsidRPr="00E85727">
        <w:rPr>
          <w:rFonts w:ascii="Open Sans" w:eastAsia="Times New Roman" w:hAnsi="Open Sans" w:cs="Open Sans"/>
          <w:i/>
          <w:iCs/>
          <w:color w:val="1C1D1E"/>
          <w:sz w:val="21"/>
          <w:szCs w:val="21"/>
          <w:lang w:eastAsia="en-GB"/>
        </w:rPr>
        <w:t>Environmental Archaeology</w:t>
      </w:r>
      <w:r w:rsidRPr="00E85727">
        <w:rPr>
          <w:rFonts w:ascii="Open Sans" w:eastAsia="Times New Roman" w:hAnsi="Open Sans" w:cs="Open Sans"/>
          <w:color w:val="1C1D1E"/>
          <w:sz w:val="21"/>
          <w:szCs w:val="21"/>
          <w:lang w:eastAsia="en-GB"/>
        </w:rPr>
        <w:t> </w:t>
      </w:r>
      <w:r w:rsidRPr="00E85727">
        <w:rPr>
          <w:rFonts w:ascii="Open Sans" w:eastAsia="Times New Roman" w:hAnsi="Open Sans" w:cs="Open Sans"/>
          <w:b/>
          <w:bCs/>
          <w:color w:val="1C1D1E"/>
          <w:sz w:val="21"/>
          <w:szCs w:val="21"/>
          <w:lang w:eastAsia="en-GB"/>
        </w:rPr>
        <w:t>9</w:t>
      </w:r>
      <w:r w:rsidRPr="00E85727">
        <w:rPr>
          <w:rFonts w:ascii="Open Sans" w:eastAsia="Times New Roman" w:hAnsi="Open Sans" w:cs="Open Sans"/>
          <w:color w:val="1C1D1E"/>
          <w:sz w:val="21"/>
          <w:szCs w:val="21"/>
          <w:lang w:eastAsia="en-GB"/>
        </w:rPr>
        <w:t>(1), 85–98.</w:t>
      </w:r>
    </w:p>
    <w:p w14:paraId="547BC2C5" w14:textId="77777777" w:rsidR="00E85727" w:rsidRPr="00E85727" w:rsidRDefault="00E85727" w:rsidP="00E85727">
      <w:pPr>
        <w:shd w:val="clear" w:color="auto" w:fill="FFFFFF"/>
        <w:spacing w:before="100" w:beforeAutospacing="1" w:after="100" w:afterAutospacing="1" w:line="240" w:lineRule="auto"/>
        <w:rPr>
          <w:rFonts w:ascii="Open Sans" w:eastAsia="Times New Roman" w:hAnsi="Open Sans" w:cs="Open Sans"/>
          <w:color w:val="1C1D1E"/>
          <w:sz w:val="21"/>
          <w:szCs w:val="21"/>
          <w:lang w:eastAsia="en-GB"/>
        </w:rPr>
      </w:pPr>
      <w:r>
        <w:rPr>
          <w:rStyle w:val="author"/>
          <w:rFonts w:ascii="Open Sans" w:hAnsi="Open Sans" w:cs="Open Sans"/>
          <w:color w:val="1C1D1E"/>
          <w:sz w:val="21"/>
          <w:szCs w:val="21"/>
          <w:shd w:val="clear" w:color="auto" w:fill="FFFFFF"/>
        </w:rPr>
        <w:t>McKinley, J.</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2004</w:t>
      </w:r>
      <w:r>
        <w:rPr>
          <w:rFonts w:ascii="Open Sans" w:hAnsi="Open Sans" w:cs="Open Sans"/>
          <w:color w:val="1C1D1E"/>
          <w:sz w:val="21"/>
          <w:szCs w:val="21"/>
          <w:shd w:val="clear" w:color="auto" w:fill="FFFFFF"/>
        </w:rPr>
        <w:t>: </w:t>
      </w:r>
      <w:r>
        <w:rPr>
          <w:rStyle w:val="chaptertitle"/>
          <w:rFonts w:ascii="Open Sans" w:hAnsi="Open Sans" w:cs="Open Sans"/>
          <w:color w:val="1C1D1E"/>
          <w:sz w:val="21"/>
          <w:szCs w:val="21"/>
          <w:shd w:val="clear" w:color="auto" w:fill="FFFFFF"/>
        </w:rPr>
        <w:t>Compiling a skeletal inventory: disarticulated and co-mingled remains</w:t>
      </w:r>
      <w:r>
        <w:rPr>
          <w:rFonts w:ascii="Open Sans" w:hAnsi="Open Sans" w:cs="Open Sans"/>
          <w:color w:val="1C1D1E"/>
          <w:sz w:val="21"/>
          <w:szCs w:val="21"/>
          <w:shd w:val="clear" w:color="auto" w:fill="FFFFFF"/>
        </w:rPr>
        <w:t>. In </w:t>
      </w:r>
      <w:r>
        <w:rPr>
          <w:rStyle w:val="editor"/>
          <w:rFonts w:ascii="Open Sans" w:hAnsi="Open Sans" w:cs="Open Sans"/>
          <w:color w:val="1C1D1E"/>
          <w:sz w:val="21"/>
          <w:szCs w:val="21"/>
          <w:shd w:val="clear" w:color="auto" w:fill="FFFFFF"/>
        </w:rPr>
        <w:t>M. Brickley</w:t>
      </w:r>
      <w:r>
        <w:rPr>
          <w:rFonts w:ascii="Open Sans" w:hAnsi="Open Sans" w:cs="Open Sans"/>
          <w:color w:val="1C1D1E"/>
          <w:sz w:val="21"/>
          <w:szCs w:val="21"/>
          <w:shd w:val="clear" w:color="auto" w:fill="FFFFFF"/>
        </w:rPr>
        <w:t> and </w:t>
      </w:r>
      <w:r>
        <w:rPr>
          <w:rStyle w:val="editor"/>
          <w:rFonts w:ascii="Open Sans" w:hAnsi="Open Sans" w:cs="Open Sans"/>
          <w:color w:val="1C1D1E"/>
          <w:sz w:val="21"/>
          <w:szCs w:val="21"/>
          <w:shd w:val="clear" w:color="auto" w:fill="FFFFFF"/>
        </w:rPr>
        <w:t>J. McKinley</w:t>
      </w:r>
      <w:r>
        <w:rPr>
          <w:rFonts w:ascii="Open Sans" w:hAnsi="Open Sans" w:cs="Open Sans"/>
          <w:color w:val="1C1D1E"/>
          <w:sz w:val="21"/>
          <w:szCs w:val="21"/>
          <w:shd w:val="clear" w:color="auto" w:fill="FFFFFF"/>
        </w:rPr>
        <w:t> (eds.), </w:t>
      </w:r>
      <w:r>
        <w:rPr>
          <w:rStyle w:val="booktitle"/>
          <w:rFonts w:ascii="Open Sans" w:hAnsi="Open Sans" w:cs="Open Sans"/>
          <w:i/>
          <w:iCs/>
          <w:color w:val="1C1D1E"/>
          <w:sz w:val="21"/>
          <w:szCs w:val="21"/>
          <w:shd w:val="clear" w:color="auto" w:fill="FFFFFF"/>
        </w:rPr>
        <w:t>Guidelines to the Standards for Recording Human Remains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Reading</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14</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17</w:t>
      </w:r>
      <w:r>
        <w:rPr>
          <w:rFonts w:ascii="Open Sans" w:hAnsi="Open Sans" w:cs="Open Sans"/>
          <w:color w:val="1C1D1E"/>
          <w:sz w:val="21"/>
          <w:szCs w:val="21"/>
          <w:shd w:val="clear" w:color="auto" w:fill="FFFFFF"/>
        </w:rPr>
        <w:t>.</w:t>
      </w:r>
    </w:p>
    <w:p w14:paraId="2AEBF37B"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Outram, A.</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2001</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A new method to identifying bone marrow and grease exploitation: why indeterminate fragments should not be ignored</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Journal of Archaeological Science</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28</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401</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10</w:t>
      </w:r>
      <w:r>
        <w:rPr>
          <w:rFonts w:ascii="Open Sans" w:hAnsi="Open Sans" w:cs="Open Sans"/>
          <w:color w:val="1C1D1E"/>
          <w:sz w:val="21"/>
          <w:szCs w:val="21"/>
          <w:shd w:val="clear" w:color="auto" w:fill="FFFFFF"/>
        </w:rPr>
        <w:t>.</w:t>
      </w:r>
    </w:p>
    <w:p w14:paraId="38E88F73"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4CD3F97B"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Prummel, W.</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1987</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Atlas for identification of foetal skeletal elements of cattle, horse, sheep and pig</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Archaeozoologica</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1</w:t>
      </w:r>
      <w:r>
        <w:rPr>
          <w:rFonts w:ascii="Open Sans" w:hAnsi="Open Sans" w:cs="Open Sans"/>
          <w:color w:val="1C1D1E"/>
          <w:sz w:val="21"/>
          <w:szCs w:val="21"/>
          <w:shd w:val="clear" w:color="auto" w:fill="FFFFFF"/>
        </w:rPr>
        <w:t>(</w:t>
      </w:r>
      <w:r>
        <w:rPr>
          <w:rStyle w:val="citedissue"/>
          <w:rFonts w:ascii="Open Sans" w:hAnsi="Open Sans" w:cs="Open Sans"/>
          <w:color w:val="1C1D1E"/>
          <w:sz w:val="21"/>
          <w:szCs w:val="21"/>
          <w:shd w:val="clear" w:color="auto" w:fill="FFFFFF"/>
        </w:rPr>
        <w:t>1</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23</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30</w:t>
      </w:r>
      <w:r>
        <w:rPr>
          <w:rFonts w:ascii="Open Sans" w:hAnsi="Open Sans" w:cs="Open Sans"/>
          <w:color w:val="1C1D1E"/>
          <w:sz w:val="21"/>
          <w:szCs w:val="21"/>
          <w:shd w:val="clear" w:color="auto" w:fill="FFFFFF"/>
        </w:rPr>
        <w:t>.</w:t>
      </w:r>
    </w:p>
    <w:p w14:paraId="7B16C131"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32FE6904"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Roberts, C.</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Connell, B.</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2004</w:t>
      </w:r>
      <w:r>
        <w:rPr>
          <w:rFonts w:ascii="Open Sans" w:hAnsi="Open Sans" w:cs="Open Sans"/>
          <w:color w:val="1C1D1E"/>
          <w:sz w:val="21"/>
          <w:szCs w:val="21"/>
          <w:shd w:val="clear" w:color="auto" w:fill="FFFFFF"/>
        </w:rPr>
        <w:t>: </w:t>
      </w:r>
      <w:r>
        <w:rPr>
          <w:rStyle w:val="chaptertitle"/>
          <w:rFonts w:ascii="Open Sans" w:hAnsi="Open Sans" w:cs="Open Sans"/>
          <w:color w:val="1C1D1E"/>
          <w:sz w:val="21"/>
          <w:szCs w:val="21"/>
          <w:shd w:val="clear" w:color="auto" w:fill="FFFFFF"/>
        </w:rPr>
        <w:t>Guidance on recording palaeopathology</w:t>
      </w:r>
      <w:r>
        <w:rPr>
          <w:rFonts w:ascii="Open Sans" w:hAnsi="Open Sans" w:cs="Open Sans"/>
          <w:color w:val="1C1D1E"/>
          <w:sz w:val="21"/>
          <w:szCs w:val="21"/>
          <w:shd w:val="clear" w:color="auto" w:fill="FFFFFF"/>
        </w:rPr>
        <w:t>. In </w:t>
      </w:r>
      <w:r>
        <w:rPr>
          <w:rStyle w:val="editor"/>
          <w:rFonts w:ascii="Open Sans" w:hAnsi="Open Sans" w:cs="Open Sans"/>
          <w:color w:val="1C1D1E"/>
          <w:sz w:val="21"/>
          <w:szCs w:val="21"/>
          <w:shd w:val="clear" w:color="auto" w:fill="FFFFFF"/>
        </w:rPr>
        <w:t>M. Brickley</w:t>
      </w:r>
      <w:r>
        <w:rPr>
          <w:rFonts w:ascii="Open Sans" w:hAnsi="Open Sans" w:cs="Open Sans"/>
          <w:color w:val="1C1D1E"/>
          <w:sz w:val="21"/>
          <w:szCs w:val="21"/>
          <w:shd w:val="clear" w:color="auto" w:fill="FFFFFF"/>
        </w:rPr>
        <w:t> and </w:t>
      </w:r>
      <w:r>
        <w:rPr>
          <w:rStyle w:val="editor"/>
          <w:rFonts w:ascii="Open Sans" w:hAnsi="Open Sans" w:cs="Open Sans"/>
          <w:color w:val="1C1D1E"/>
          <w:sz w:val="21"/>
          <w:szCs w:val="21"/>
          <w:shd w:val="clear" w:color="auto" w:fill="FFFFFF"/>
        </w:rPr>
        <w:t>J. McKinley</w:t>
      </w:r>
      <w:r>
        <w:rPr>
          <w:rFonts w:ascii="Open Sans" w:hAnsi="Open Sans" w:cs="Open Sans"/>
          <w:color w:val="1C1D1E"/>
          <w:sz w:val="21"/>
          <w:szCs w:val="21"/>
          <w:shd w:val="clear" w:color="auto" w:fill="FFFFFF"/>
        </w:rPr>
        <w:t> (eds.) </w:t>
      </w:r>
      <w:r>
        <w:rPr>
          <w:rStyle w:val="booktitle"/>
          <w:rFonts w:ascii="Open Sans" w:hAnsi="Open Sans" w:cs="Open Sans"/>
          <w:i/>
          <w:iCs/>
          <w:color w:val="1C1D1E"/>
          <w:sz w:val="21"/>
          <w:szCs w:val="21"/>
          <w:shd w:val="clear" w:color="auto" w:fill="FFFFFF"/>
        </w:rPr>
        <w:t>Guidelines to the Standards for Recording Human Remains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Reading</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34</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9</w:t>
      </w:r>
      <w:r>
        <w:rPr>
          <w:rFonts w:ascii="Open Sans" w:hAnsi="Open Sans" w:cs="Open Sans"/>
          <w:color w:val="1C1D1E"/>
          <w:sz w:val="21"/>
          <w:szCs w:val="21"/>
          <w:shd w:val="clear" w:color="auto" w:fill="FFFFFF"/>
        </w:rPr>
        <w:t>.</w:t>
      </w:r>
    </w:p>
    <w:p w14:paraId="650F8DCD"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20BFD90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Scheuer, L.</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Black, S.</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2000</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Developmental Juvenile Osteology</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London</w:t>
      </w:r>
      <w:r>
        <w:rPr>
          <w:rFonts w:ascii="Open Sans" w:hAnsi="Open Sans" w:cs="Open Sans"/>
          <w:color w:val="1C1D1E"/>
          <w:sz w:val="21"/>
          <w:szCs w:val="21"/>
          <w:shd w:val="clear" w:color="auto" w:fill="FFFFFF"/>
        </w:rPr>
        <w:t>).</w:t>
      </w:r>
    </w:p>
    <w:p w14:paraId="7AF59610"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3A8AF0AE"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Sumner-Smith, G.</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1966</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Observations on epiphyseal fusion in the dog</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Journal of Small Animal Practice</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7</w:t>
      </w:r>
      <w:r>
        <w:rPr>
          <w:rFonts w:ascii="Open Sans" w:hAnsi="Open Sans" w:cs="Open Sans"/>
          <w:color w:val="1C1D1E"/>
          <w:sz w:val="21"/>
          <w:szCs w:val="21"/>
          <w:shd w:val="clear" w:color="auto" w:fill="FFFFFF"/>
        </w:rPr>
        <w:t>(</w:t>
      </w:r>
      <w:r>
        <w:rPr>
          <w:rStyle w:val="citedissue"/>
          <w:rFonts w:ascii="Open Sans" w:hAnsi="Open Sans" w:cs="Open Sans"/>
          <w:color w:val="1C1D1E"/>
          <w:sz w:val="21"/>
          <w:szCs w:val="21"/>
          <w:shd w:val="clear" w:color="auto" w:fill="FFFFFF"/>
        </w:rPr>
        <w:t>4</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303</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11</w:t>
      </w:r>
      <w:r>
        <w:rPr>
          <w:rFonts w:ascii="Open Sans" w:hAnsi="Open Sans" w:cs="Open Sans"/>
          <w:color w:val="1C1D1E"/>
          <w:sz w:val="21"/>
          <w:szCs w:val="21"/>
          <w:shd w:val="clear" w:color="auto" w:fill="FFFFFF"/>
        </w:rPr>
        <w:t>.</w:t>
      </w:r>
    </w:p>
    <w:p w14:paraId="7F400944"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56B06F89"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White, T.</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Folkens, P.</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2005</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The Human Bone Manual</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London</w:t>
      </w:r>
      <w:r>
        <w:rPr>
          <w:rFonts w:ascii="Open Sans" w:hAnsi="Open Sans" w:cs="Open Sans"/>
          <w:color w:val="1C1D1E"/>
          <w:sz w:val="21"/>
          <w:szCs w:val="21"/>
          <w:shd w:val="clear" w:color="auto" w:fill="FFFFFF"/>
        </w:rPr>
        <w:t>).</w:t>
      </w:r>
    </w:p>
    <w:p w14:paraId="49B3C218"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1029FF11" w14:textId="77777777" w:rsidR="00E85727" w:rsidRPr="00663AC5"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62AFBAE" w14:textId="77777777" w:rsidR="002341F8" w:rsidRDefault="002341F8"/>
    <w:sectPr w:rsidR="002341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7CE3"/>
    <w:multiLevelType w:val="multilevel"/>
    <w:tmpl w:val="D61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70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C5"/>
    <w:rsid w:val="000B08FF"/>
    <w:rsid w:val="00205947"/>
    <w:rsid w:val="002341F8"/>
    <w:rsid w:val="003573B2"/>
    <w:rsid w:val="00650E7C"/>
    <w:rsid w:val="00663AC5"/>
    <w:rsid w:val="00973AC0"/>
    <w:rsid w:val="00A260AA"/>
    <w:rsid w:val="00B51C88"/>
    <w:rsid w:val="00BB00CE"/>
    <w:rsid w:val="00BE02DE"/>
    <w:rsid w:val="00BE3B44"/>
    <w:rsid w:val="00C840F7"/>
    <w:rsid w:val="00E54E8C"/>
    <w:rsid w:val="00E85727"/>
    <w:rsid w:val="00EE4A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C496"/>
  <w15:chartTrackingRefBased/>
  <w15:docId w15:val="{002094FD-AECF-452E-A8EA-37991724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63AC5"/>
    <w:rPr>
      <w:rFonts w:ascii="Courier New" w:eastAsia="Times New Roman" w:hAnsi="Courier New" w:cs="Courier New"/>
      <w:sz w:val="20"/>
      <w:szCs w:val="20"/>
      <w:lang w:eastAsia="en-GB"/>
    </w:rPr>
  </w:style>
  <w:style w:type="character" w:customStyle="1" w:styleId="author">
    <w:name w:val="author"/>
    <w:basedOn w:val="DefaultParagraphFont"/>
    <w:rsid w:val="00E85727"/>
  </w:style>
  <w:style w:type="character" w:customStyle="1" w:styleId="pubyear">
    <w:name w:val="pubyear"/>
    <w:basedOn w:val="DefaultParagraphFont"/>
    <w:rsid w:val="00E85727"/>
  </w:style>
  <w:style w:type="character" w:customStyle="1" w:styleId="booktitle">
    <w:name w:val="booktitle"/>
    <w:basedOn w:val="DefaultParagraphFont"/>
    <w:rsid w:val="00E85727"/>
  </w:style>
  <w:style w:type="character" w:customStyle="1" w:styleId="publisherlocation">
    <w:name w:val="publisherlocation"/>
    <w:basedOn w:val="DefaultParagraphFont"/>
    <w:rsid w:val="00E85727"/>
  </w:style>
  <w:style w:type="character" w:customStyle="1" w:styleId="bookseriestitle">
    <w:name w:val="bookseriestitle"/>
    <w:basedOn w:val="DefaultParagraphFont"/>
    <w:rsid w:val="00E85727"/>
  </w:style>
  <w:style w:type="character" w:customStyle="1" w:styleId="vol">
    <w:name w:val="vol"/>
    <w:basedOn w:val="DefaultParagraphFont"/>
    <w:rsid w:val="00E85727"/>
  </w:style>
  <w:style w:type="character" w:customStyle="1" w:styleId="articletitle">
    <w:name w:val="articletitle"/>
    <w:basedOn w:val="DefaultParagraphFont"/>
    <w:rsid w:val="00E85727"/>
  </w:style>
  <w:style w:type="character" w:customStyle="1" w:styleId="citedissue">
    <w:name w:val="citedissue"/>
    <w:basedOn w:val="DefaultParagraphFont"/>
    <w:rsid w:val="00E85727"/>
  </w:style>
  <w:style w:type="character" w:customStyle="1" w:styleId="pagefirst">
    <w:name w:val="pagefirst"/>
    <w:basedOn w:val="DefaultParagraphFont"/>
    <w:rsid w:val="00E85727"/>
  </w:style>
  <w:style w:type="character" w:customStyle="1" w:styleId="pagelast">
    <w:name w:val="pagelast"/>
    <w:basedOn w:val="DefaultParagraphFont"/>
    <w:rsid w:val="00E85727"/>
  </w:style>
  <w:style w:type="character" w:styleId="Hyperlink">
    <w:name w:val="Hyperlink"/>
    <w:basedOn w:val="DefaultParagraphFont"/>
    <w:uiPriority w:val="99"/>
    <w:semiHidden/>
    <w:unhideWhenUsed/>
    <w:rsid w:val="00E85727"/>
    <w:rPr>
      <w:color w:val="0000FF"/>
      <w:u w:val="single"/>
    </w:rPr>
  </w:style>
  <w:style w:type="character" w:customStyle="1" w:styleId="chaptertitle">
    <w:name w:val="chaptertitle"/>
    <w:basedOn w:val="DefaultParagraphFont"/>
    <w:rsid w:val="00E85727"/>
  </w:style>
  <w:style w:type="character" w:customStyle="1" w:styleId="editor">
    <w:name w:val="editor"/>
    <w:basedOn w:val="DefaultParagraphFont"/>
    <w:rsid w:val="00E8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79476">
      <w:bodyDiv w:val="1"/>
      <w:marLeft w:val="0"/>
      <w:marRight w:val="0"/>
      <w:marTop w:val="0"/>
      <w:marBottom w:val="0"/>
      <w:divBdr>
        <w:top w:val="none" w:sz="0" w:space="0" w:color="auto"/>
        <w:left w:val="none" w:sz="0" w:space="0" w:color="auto"/>
        <w:bottom w:val="none" w:sz="0" w:space="0" w:color="auto"/>
        <w:right w:val="none" w:sz="0" w:space="0" w:color="auto"/>
      </w:divBdr>
      <w:divsChild>
        <w:div w:id="1420172418">
          <w:marLeft w:val="0"/>
          <w:marRight w:val="0"/>
          <w:marTop w:val="0"/>
          <w:marBottom w:val="0"/>
          <w:divBdr>
            <w:top w:val="none" w:sz="0" w:space="0" w:color="auto"/>
            <w:left w:val="none" w:sz="0" w:space="0" w:color="auto"/>
            <w:bottom w:val="none" w:sz="0" w:space="0" w:color="auto"/>
            <w:right w:val="none" w:sz="0" w:space="0" w:color="auto"/>
          </w:divBdr>
          <w:divsChild>
            <w:div w:id="1324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7864/1947.001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Green</dc:creator>
  <cp:keywords/>
  <dc:description/>
  <cp:lastModifiedBy>Sophie Dorman</cp:lastModifiedBy>
  <cp:revision>3</cp:revision>
  <dcterms:created xsi:type="dcterms:W3CDTF">2025-01-29T14:40:00Z</dcterms:created>
  <dcterms:modified xsi:type="dcterms:W3CDTF">2025-03-07T14:15:00Z</dcterms:modified>
</cp:coreProperties>
</file>