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2C1D" w14:textId="77777777" w:rsidR="002960A5" w:rsidRPr="00F203C3" w:rsidRDefault="002960A5" w:rsidP="002960A5">
      <w:pPr>
        <w:spacing w:line="360" w:lineRule="auto"/>
      </w:pPr>
      <w:r w:rsidRPr="00F203C3">
        <w:t>1. ABOUT THE DATASET</w:t>
      </w:r>
    </w:p>
    <w:p w14:paraId="2ECB35A5" w14:textId="77777777" w:rsidR="002960A5" w:rsidRPr="00F203C3" w:rsidRDefault="002960A5" w:rsidP="002960A5">
      <w:pPr>
        <w:spacing w:line="360" w:lineRule="auto"/>
      </w:pPr>
      <w:r w:rsidRPr="00F203C3">
        <w:t>------------</w:t>
      </w:r>
    </w:p>
    <w:p w14:paraId="44D5BE01" w14:textId="77777777" w:rsidR="002960A5" w:rsidRPr="00F203C3" w:rsidRDefault="002960A5" w:rsidP="002960A5">
      <w:pPr>
        <w:spacing w:line="360" w:lineRule="auto"/>
      </w:pPr>
    </w:p>
    <w:p w14:paraId="4A591376" w14:textId="23E3A552" w:rsidR="002960A5" w:rsidRDefault="002960A5" w:rsidP="002960A5">
      <w:pPr>
        <w:spacing w:line="360" w:lineRule="auto"/>
      </w:pPr>
      <w:r w:rsidRPr="00F203C3">
        <w:t xml:space="preserve">Title: </w:t>
      </w:r>
      <w:r>
        <w:t>Exploring the prebiotic potential of cellobiose using in vitro batch fermentation gut model</w:t>
      </w:r>
    </w:p>
    <w:p w14:paraId="12CF65DE" w14:textId="77777777" w:rsidR="002960A5" w:rsidRPr="00F203C3" w:rsidRDefault="002960A5" w:rsidP="002960A5">
      <w:pPr>
        <w:spacing w:line="360" w:lineRule="auto"/>
      </w:pPr>
    </w:p>
    <w:p w14:paraId="3983BDCE" w14:textId="77777777" w:rsidR="002960A5" w:rsidRPr="00F203C3" w:rsidRDefault="002960A5" w:rsidP="002960A5">
      <w:pPr>
        <w:spacing w:line="360" w:lineRule="auto"/>
      </w:pPr>
      <w:r w:rsidRPr="00F203C3">
        <w:t xml:space="preserve">Creator(s): Manxi Huang </w:t>
      </w:r>
    </w:p>
    <w:p w14:paraId="0E155E9B" w14:textId="77777777" w:rsidR="002960A5" w:rsidRPr="00F203C3" w:rsidRDefault="002960A5" w:rsidP="002960A5">
      <w:pPr>
        <w:spacing w:line="360" w:lineRule="auto"/>
      </w:pPr>
    </w:p>
    <w:p w14:paraId="64DB20D2" w14:textId="77777777" w:rsidR="002960A5" w:rsidRPr="00F203C3" w:rsidRDefault="002960A5" w:rsidP="002960A5">
      <w:pPr>
        <w:spacing w:line="360" w:lineRule="auto"/>
      </w:pPr>
      <w:r w:rsidRPr="00F203C3">
        <w:t>Organisations: University of Reading</w:t>
      </w:r>
    </w:p>
    <w:p w14:paraId="45870130" w14:textId="77777777" w:rsidR="002960A5" w:rsidRPr="00F203C3" w:rsidRDefault="002960A5" w:rsidP="002960A5">
      <w:pPr>
        <w:spacing w:line="360" w:lineRule="auto"/>
      </w:pPr>
    </w:p>
    <w:p w14:paraId="674573AA" w14:textId="77777777" w:rsidR="002960A5" w:rsidRPr="00F203C3" w:rsidRDefault="002960A5" w:rsidP="002960A5">
      <w:pPr>
        <w:spacing w:line="360" w:lineRule="auto"/>
      </w:pPr>
      <w:r w:rsidRPr="00F203C3">
        <w:t>Rights-holders: Manxi Huang</w:t>
      </w:r>
    </w:p>
    <w:p w14:paraId="6E7329CE" w14:textId="77777777" w:rsidR="002960A5" w:rsidRPr="00F203C3" w:rsidRDefault="002960A5" w:rsidP="002960A5">
      <w:pPr>
        <w:spacing w:line="360" w:lineRule="auto"/>
      </w:pPr>
    </w:p>
    <w:p w14:paraId="5317B700" w14:textId="03D32688" w:rsidR="002960A5" w:rsidRPr="00F203C3" w:rsidRDefault="002960A5" w:rsidP="002960A5">
      <w:pPr>
        <w:spacing w:line="360" w:lineRule="auto"/>
      </w:pPr>
      <w:r w:rsidRPr="00F203C3">
        <w:t>Publication Year: 202</w:t>
      </w:r>
      <w:r>
        <w:t>6</w:t>
      </w:r>
    </w:p>
    <w:p w14:paraId="4FD45BE2" w14:textId="77777777" w:rsidR="002960A5" w:rsidRPr="00F203C3" w:rsidRDefault="002960A5" w:rsidP="002960A5">
      <w:pPr>
        <w:spacing w:line="360" w:lineRule="auto"/>
      </w:pPr>
    </w:p>
    <w:p w14:paraId="20D5C19F" w14:textId="77777777" w:rsidR="002960A5" w:rsidRPr="00F203C3" w:rsidRDefault="002960A5" w:rsidP="002960A5">
      <w:pPr>
        <w:spacing w:line="360" w:lineRule="auto"/>
      </w:pPr>
      <w:r w:rsidRPr="00F203C3">
        <w:t xml:space="preserve">Description: </w:t>
      </w:r>
    </w:p>
    <w:p w14:paraId="5B565107" w14:textId="297F156B" w:rsidR="002960A5" w:rsidRDefault="002960A5" w:rsidP="002960A5">
      <w:pPr>
        <w:spacing w:line="360" w:lineRule="auto"/>
      </w:pPr>
      <w:r>
        <w:t xml:space="preserve">This dataset contains the raw experimental data. The study investigated the prebiotic potential of commercial cellobiose compared to oligofructose P95 (FOS) using a pH-controlled, batch </w:t>
      </w:r>
      <w:r>
        <w:rPr>
          <w:i/>
          <w:iCs/>
        </w:rPr>
        <w:t>in vitro</w:t>
      </w:r>
      <w:r>
        <w:t xml:space="preserve"> human faecal fermentation model (n=3 donors). The data includes Short-Chain Fatty Acid (SCFA) concentrations, and bacterial population enumeration via Fluorescent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Situ</w:t>
      </w:r>
      <w:r>
        <w:t xml:space="preserve"> Hybridization (FISH). </w:t>
      </w:r>
    </w:p>
    <w:p w14:paraId="15D26FA2" w14:textId="05615763" w:rsidR="002960A5" w:rsidRPr="002960A5" w:rsidRDefault="002960A5" w:rsidP="002960A5">
      <w:pPr>
        <w:spacing w:line="360" w:lineRule="auto"/>
        <w:rPr>
          <w:rFonts w:ascii="Aptos" w:eastAsia="Times New Roman" w:hAnsi="Aptos" w:cs="Times New Roman"/>
          <w:color w:val="212121"/>
          <w:kern w:val="0"/>
          <w:lang w:eastAsia="zh-CN"/>
          <w14:ligatures w14:val="none"/>
        </w:rPr>
      </w:pPr>
      <w:r w:rsidRPr="00F203C3">
        <w:t>The data supports the findings reported in the manuscript: '</w:t>
      </w:r>
      <w:r w:rsidRPr="002960A5">
        <w:rPr>
          <w:rFonts w:ascii="Aptos" w:eastAsia="Times New Roman" w:hAnsi="Aptos" w:cs="Times New Roman"/>
          <w:color w:val="212121"/>
          <w:kern w:val="0"/>
          <w:lang w:eastAsia="zh-CN"/>
          <w14:ligatures w14:val="none"/>
        </w:rPr>
        <w:t>Cellobiose as a candidate prebiotic: Enhanced butyrate production in an in vitro human gut fermentation model</w:t>
      </w:r>
      <w:r w:rsidRPr="00F203C3">
        <w:t>'</w:t>
      </w:r>
      <w:r>
        <w:rPr>
          <w:rFonts w:ascii="Aptos" w:eastAsia="Times New Roman" w:hAnsi="Aptos" w:cs="Times New Roman"/>
          <w:color w:val="212121"/>
          <w:kern w:val="0"/>
          <w:lang w:eastAsia="zh-CN"/>
          <w14:ligatures w14:val="none"/>
        </w:rPr>
        <w:t xml:space="preserve"> </w:t>
      </w:r>
      <w:r w:rsidRPr="00F203C3">
        <w:t xml:space="preserve">This study is also presented as Chapter 5 of the PhD thesis: 'Extraction </w:t>
      </w:r>
      <w:r w:rsidRPr="00F203C3">
        <w:rPr>
          <w:rFonts w:cs="Calibri"/>
        </w:rPr>
        <w:t xml:space="preserve"> </w:t>
      </w:r>
      <w:r w:rsidRPr="00F203C3">
        <w:t>of cellobiose from spent coffee grounds and prebiotic potential of commercial cellobiose'.</w:t>
      </w:r>
    </w:p>
    <w:p w14:paraId="4F42B59A" w14:textId="77777777" w:rsidR="002960A5" w:rsidRDefault="002960A5" w:rsidP="002960A5">
      <w:pPr>
        <w:spacing w:line="360" w:lineRule="auto"/>
      </w:pPr>
    </w:p>
    <w:p w14:paraId="451164B4" w14:textId="0ACC00AD" w:rsidR="002960A5" w:rsidRPr="00F203C3" w:rsidRDefault="002960A5" w:rsidP="002960A5">
      <w:pPr>
        <w:spacing w:line="360" w:lineRule="auto"/>
      </w:pPr>
      <w:r w:rsidRPr="00F203C3">
        <w:lastRenderedPageBreak/>
        <w:t>Outcomes include:</w:t>
      </w:r>
    </w:p>
    <w:p w14:paraId="0CC61613" w14:textId="1271B18F" w:rsidR="002960A5" w:rsidRDefault="002960A5" w:rsidP="002960A5">
      <w:pPr>
        <w:pStyle w:val="ListParagraph"/>
        <w:numPr>
          <w:ilvl w:val="0"/>
          <w:numId w:val="1"/>
        </w:numPr>
        <w:spacing w:line="360" w:lineRule="auto"/>
      </w:pPr>
      <w:r>
        <w:t xml:space="preserve">Bacteriology changes (Bacterial population enumeration via Fluorescent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Situ</w:t>
      </w:r>
      <w:r>
        <w:t xml:space="preserve"> Hybridization (FISH)</w:t>
      </w:r>
    </w:p>
    <w:p w14:paraId="11FE55B8" w14:textId="2D6C6168" w:rsidR="002960A5" w:rsidRPr="00F203C3" w:rsidRDefault="002960A5" w:rsidP="002960A5">
      <w:pPr>
        <w:pStyle w:val="ListParagraph"/>
        <w:numPr>
          <w:ilvl w:val="0"/>
          <w:numId w:val="1"/>
        </w:numPr>
        <w:spacing w:line="360" w:lineRule="auto"/>
      </w:pPr>
      <w:r w:rsidRPr="00F203C3">
        <w:t xml:space="preserve">Metabolite changes (Short-Chain Fatty Acids via </w:t>
      </w:r>
      <w:r w:rsidR="00D32BF8" w:rsidRPr="00780DD2">
        <w:t xml:space="preserve">Gas Chromatography with downstream Flame Ionization Detector </w:t>
      </w:r>
      <w:r w:rsidR="00D32BF8" w:rsidRPr="00584F94">
        <w:t>(</w:t>
      </w:r>
      <w:r w:rsidR="00D32BF8">
        <w:t>GC-FID</w:t>
      </w:r>
      <w:r w:rsidR="00D32BF8" w:rsidRPr="00584F94">
        <w:t>)</w:t>
      </w:r>
      <w:r w:rsidRPr="00F203C3">
        <w:t>.</w:t>
      </w:r>
    </w:p>
    <w:p w14:paraId="4217B767" w14:textId="77777777" w:rsidR="002960A5" w:rsidRPr="00F203C3" w:rsidRDefault="002960A5" w:rsidP="002960A5">
      <w:pPr>
        <w:spacing w:line="360" w:lineRule="auto"/>
      </w:pPr>
      <w:r w:rsidRPr="00F203C3">
        <w:t>Methodology Note:</w:t>
      </w:r>
    </w:p>
    <w:p w14:paraId="35F83562" w14:textId="77777777" w:rsidR="00584F94" w:rsidRPr="00584F94" w:rsidRDefault="00584F94" w:rsidP="00584F94">
      <w:pPr>
        <w:spacing w:line="360" w:lineRule="auto"/>
      </w:pPr>
      <w:r w:rsidRPr="00584F94">
        <w:t>The data provided in this repository was generated using the following experimental procedures:</w:t>
      </w:r>
    </w:p>
    <w:p w14:paraId="0E24D0AA" w14:textId="3190DD67" w:rsidR="00584F94" w:rsidRPr="00584F94" w:rsidRDefault="00584F94" w:rsidP="00584F94">
      <w:pPr>
        <w:numPr>
          <w:ilvl w:val="0"/>
          <w:numId w:val="11"/>
        </w:numPr>
        <w:spacing w:line="360" w:lineRule="auto"/>
      </w:pPr>
      <w:r w:rsidRPr="00584F94">
        <w:rPr>
          <w:b/>
          <w:bCs/>
        </w:rPr>
        <w:t>Faecal Fermentation Model:</w:t>
      </w:r>
      <w:r w:rsidRPr="00584F94">
        <w:t xml:space="preserve"> Fresh faecal samples were obtained from three healthy human donors </w:t>
      </w:r>
      <w:r>
        <w:t xml:space="preserve">(n = 3). </w:t>
      </w:r>
      <w:r w:rsidRPr="00584F94">
        <w:t>The samples were homogenized and inoculated into anaerobic, pH-controlled batch fermentation vessels.</w:t>
      </w:r>
    </w:p>
    <w:p w14:paraId="3565B7FD" w14:textId="556EFDF8" w:rsidR="00584F94" w:rsidRPr="00584F94" w:rsidRDefault="00584F94" w:rsidP="00584F94">
      <w:pPr>
        <w:numPr>
          <w:ilvl w:val="0"/>
          <w:numId w:val="11"/>
        </w:numPr>
        <w:spacing w:line="360" w:lineRule="auto"/>
      </w:pPr>
      <w:r w:rsidRPr="00584F94">
        <w:rPr>
          <w:b/>
          <w:bCs/>
        </w:rPr>
        <w:t>Treatments:</w:t>
      </w:r>
      <w:r w:rsidRPr="00584F94">
        <w:t xml:space="preserve"> Vessels were supplemented with either commercial cellobiose (test substrate), oligofructose </w:t>
      </w:r>
      <w:r w:rsidR="00CF635B">
        <w:t>P95 (</w:t>
      </w:r>
      <w:r w:rsidRPr="00584F94">
        <w:t>FOS; positive control), or no added carbohydrate (negative control).</w:t>
      </w:r>
    </w:p>
    <w:p w14:paraId="1A504186" w14:textId="421ECC48" w:rsidR="00584F94" w:rsidRPr="00584F94" w:rsidRDefault="00584F94" w:rsidP="00584F94">
      <w:pPr>
        <w:numPr>
          <w:ilvl w:val="0"/>
          <w:numId w:val="11"/>
        </w:numPr>
        <w:spacing w:line="360" w:lineRule="auto"/>
      </w:pPr>
      <w:r w:rsidRPr="00584F94">
        <w:rPr>
          <w:b/>
          <w:bCs/>
        </w:rPr>
        <w:t>Sampling Time Points:</w:t>
      </w:r>
      <w:r w:rsidRPr="00584F94">
        <w:t xml:space="preserve"> Aliquots were removed from the fermentation vessels at standard intervals (0, </w:t>
      </w:r>
      <w:r w:rsidR="0046421B">
        <w:t>8</w:t>
      </w:r>
      <w:r w:rsidRPr="00584F94">
        <w:t xml:space="preserve">, </w:t>
      </w:r>
      <w:r w:rsidR="0046421B">
        <w:t>24</w:t>
      </w:r>
      <w:r w:rsidRPr="00584F94">
        <w:t>, and 48 hours) for metabolic and microbial analysis.</w:t>
      </w:r>
    </w:p>
    <w:p w14:paraId="13EE78A4" w14:textId="2B633B8D" w:rsidR="00584F94" w:rsidRPr="00584F94" w:rsidRDefault="00584F94" w:rsidP="00584F94">
      <w:pPr>
        <w:numPr>
          <w:ilvl w:val="0"/>
          <w:numId w:val="11"/>
        </w:numPr>
        <w:spacing w:line="360" w:lineRule="auto"/>
      </w:pPr>
      <w:r w:rsidRPr="00584F94">
        <w:rPr>
          <w:b/>
          <w:bCs/>
        </w:rPr>
        <w:t>Metabolite Analysis (SCFA):</w:t>
      </w:r>
      <w:r w:rsidRPr="00584F94">
        <w:t xml:space="preserve"> Short-chain fatty acids (acetate, propionate, butyrate</w:t>
      </w:r>
      <w:r w:rsidR="0046421B">
        <w:t xml:space="preserve">, </w:t>
      </w:r>
      <w:r w:rsidR="00F04C47">
        <w:t>valerate, iso-</w:t>
      </w:r>
      <w:proofErr w:type="spellStart"/>
      <w:r w:rsidR="00F04C47">
        <w:t>butyrate,</w:t>
      </w:r>
      <w:r w:rsidR="00842AD6">
        <w:t>iso</w:t>
      </w:r>
      <w:proofErr w:type="spellEnd"/>
      <w:r w:rsidR="00842AD6">
        <w:t>-valerate and lactate, total organic acids</w:t>
      </w:r>
      <w:r w:rsidRPr="00584F94">
        <w:t xml:space="preserve">) were quantified from the fermentation aliquots using </w:t>
      </w:r>
      <w:r w:rsidR="00780DD2" w:rsidRPr="00780DD2">
        <w:t xml:space="preserve">Gas Chromatography with downstream Flame Ionization Detector </w:t>
      </w:r>
      <w:r w:rsidRPr="00584F94">
        <w:t>(</w:t>
      </w:r>
      <w:r w:rsidR="00E835A3">
        <w:t>GC-FID</w:t>
      </w:r>
      <w:r w:rsidRPr="00584F94">
        <w:t>). Concentrations were calculated using external standards</w:t>
      </w:r>
      <w:r w:rsidR="00780DD2">
        <w:t xml:space="preserve"> and internal standards</w:t>
      </w:r>
      <w:r w:rsidRPr="00584F94">
        <w:t xml:space="preserve"> and are expressed in </w:t>
      </w:r>
      <w:proofErr w:type="spellStart"/>
      <w:r w:rsidRPr="00584F94">
        <w:t>mM.</w:t>
      </w:r>
      <w:proofErr w:type="spellEnd"/>
    </w:p>
    <w:p w14:paraId="3E96DF94" w14:textId="3DA424C8" w:rsidR="00584F94" w:rsidRDefault="00584F94" w:rsidP="00780DD2">
      <w:pPr>
        <w:numPr>
          <w:ilvl w:val="0"/>
          <w:numId w:val="11"/>
        </w:numPr>
        <w:spacing w:line="360" w:lineRule="auto"/>
      </w:pPr>
      <w:r w:rsidRPr="00584F94">
        <w:rPr>
          <w:b/>
          <w:bCs/>
        </w:rPr>
        <w:t>Microbial Enumeration (FISH):</w:t>
      </w:r>
      <w:r w:rsidRPr="00584F94">
        <w:t xml:space="preserve"> Bacterial populations were quantified using Fluorescence </w:t>
      </w:r>
      <w:r w:rsidRPr="00584F94">
        <w:rPr>
          <w:i/>
          <w:iCs/>
        </w:rPr>
        <w:t>in situ</w:t>
      </w:r>
      <w:r w:rsidRPr="00584F94">
        <w:t xml:space="preserve"> Hybridization (FISH)</w:t>
      </w:r>
      <w:r w:rsidR="00780DD2">
        <w:t xml:space="preserve"> with a flow cytometer</w:t>
      </w:r>
      <w:r w:rsidRPr="00584F94">
        <w:t xml:space="preserve">. Genus- and class-specific oligonucleotide probes were used to target specific bacterial groups. </w:t>
      </w:r>
      <w:r w:rsidR="00780DD2">
        <w:t>The probes used are listed below (</w:t>
      </w:r>
      <w:r w:rsidR="00340A1C">
        <w:t>Table 1)</w:t>
      </w:r>
      <w:r w:rsidR="00780DD2">
        <w:t xml:space="preserve">. </w:t>
      </w:r>
      <w:r w:rsidR="00340A1C">
        <w:t>Data were expressed as</w:t>
      </w:r>
      <w:r w:rsidR="00F67B47">
        <w:t xml:space="preserve"> Count (log10 cells/ml). </w:t>
      </w:r>
      <w:r w:rsidR="00572DCE">
        <w:t xml:space="preserve"> </w:t>
      </w:r>
      <w:r w:rsidR="00340A1C">
        <w:t xml:space="preserve"> </w:t>
      </w:r>
    </w:p>
    <w:p w14:paraId="2A698D4A" w14:textId="77777777" w:rsidR="00572DCE" w:rsidRDefault="00572DCE" w:rsidP="00572DCE">
      <w:pPr>
        <w:spacing w:line="480" w:lineRule="auto"/>
        <w:rPr>
          <w:rFonts w:ascii="Calibri" w:hAnsi="Calibri" w:cs="Calibri"/>
          <w:b/>
          <w:bCs/>
        </w:rPr>
        <w:sectPr w:rsidR="00572DCE" w:rsidSect="00572D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E3B615" w14:textId="04A3E679" w:rsidR="00572DCE" w:rsidRDefault="00572DCE" w:rsidP="00572DCE">
      <w:pPr>
        <w:spacing w:line="480" w:lineRule="auto"/>
        <w:rPr>
          <w:rFonts w:ascii="Calibri" w:hAnsi="Calibri" w:cs="Calibri"/>
        </w:rPr>
      </w:pPr>
      <w:r w:rsidRPr="00C371B6">
        <w:rPr>
          <w:rFonts w:ascii="Calibri" w:hAnsi="Calibri" w:cs="Calibri"/>
          <w:b/>
          <w:bCs/>
        </w:rPr>
        <w:lastRenderedPageBreak/>
        <w:t>Table 1</w:t>
      </w:r>
      <w:r>
        <w:rPr>
          <w:rFonts w:ascii="Calibri" w:hAnsi="Calibri" w:cs="Calibri"/>
          <w:b/>
          <w:bCs/>
        </w:rPr>
        <w:t xml:space="preserve"> </w:t>
      </w:r>
      <w:r w:rsidRPr="00753321">
        <w:rPr>
          <w:rFonts w:ascii="Calibri" w:hAnsi="Calibri" w:cs="Calibri"/>
        </w:rPr>
        <w:t>Name, sequence, and target group of oligonucleotide probe used in this study for FISH of bacterial enumeration</w:t>
      </w:r>
    </w:p>
    <w:tbl>
      <w:tblPr>
        <w:tblStyle w:val="PlainTable2"/>
        <w:tblW w:w="14066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3537"/>
        <w:gridCol w:w="6149"/>
        <w:gridCol w:w="2562"/>
      </w:tblGrid>
      <w:tr w:rsidR="00572DCE" w:rsidRPr="00951CAE" w14:paraId="4FE1383C" w14:textId="77777777" w:rsidTr="0076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1D1D1" w:themeFill="background2" w:themeFillShade="E6"/>
          </w:tcPr>
          <w:p w14:paraId="29CD22DD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Probes</w:t>
            </w:r>
          </w:p>
        </w:tc>
        <w:tc>
          <w:tcPr>
            <w:tcW w:w="3537" w:type="dxa"/>
            <w:shd w:val="clear" w:color="auto" w:fill="D1D1D1" w:themeFill="background2" w:themeFillShade="E6"/>
          </w:tcPr>
          <w:p w14:paraId="3DBF4CF4" w14:textId="77777777" w:rsidR="00572DCE" w:rsidRPr="00951CAE" w:rsidRDefault="00572DCE" w:rsidP="00762141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Sequence (5’ to 3’)</w:t>
            </w:r>
          </w:p>
        </w:tc>
        <w:tc>
          <w:tcPr>
            <w:tcW w:w="6149" w:type="dxa"/>
            <w:shd w:val="clear" w:color="auto" w:fill="D1D1D1" w:themeFill="background2" w:themeFillShade="E6"/>
          </w:tcPr>
          <w:p w14:paraId="6EF81038" w14:textId="77777777" w:rsidR="00572DCE" w:rsidRPr="00951CAE" w:rsidRDefault="00572DCE" w:rsidP="00762141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Targeted groups</w:t>
            </w:r>
          </w:p>
        </w:tc>
        <w:tc>
          <w:tcPr>
            <w:tcW w:w="2562" w:type="dxa"/>
            <w:shd w:val="clear" w:color="auto" w:fill="D1D1D1" w:themeFill="background2" w:themeFillShade="E6"/>
          </w:tcPr>
          <w:p w14:paraId="3D931D8B" w14:textId="77777777" w:rsidR="00572DCE" w:rsidRPr="00951CAE" w:rsidRDefault="00572DCE" w:rsidP="00762141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Reference</w:t>
            </w:r>
          </w:p>
        </w:tc>
      </w:tr>
      <w:tr w:rsidR="00572DCE" w:rsidRPr="00951CAE" w14:paraId="0CBE7A81" w14:textId="77777777" w:rsidTr="0076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0E372E5E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Non Eub</w:t>
            </w:r>
          </w:p>
        </w:tc>
        <w:tc>
          <w:tcPr>
            <w:tcW w:w="3537" w:type="dxa"/>
          </w:tcPr>
          <w:p w14:paraId="75FA7415" w14:textId="77777777" w:rsidR="00572DCE" w:rsidRPr="00951CAE" w:rsidRDefault="00572DCE" w:rsidP="00762141">
            <w:pPr>
              <w:pStyle w:val="NormalWeb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51CAE">
              <w:rPr>
                <w:rFonts w:ascii="Calibri" w:hAnsi="Calibri" w:cs="Calibri"/>
                <w:sz w:val="22"/>
                <w:szCs w:val="22"/>
              </w:rPr>
              <w:t>ACTCCTACGGGAGGCAGC</w:t>
            </w:r>
          </w:p>
        </w:tc>
        <w:tc>
          <w:tcPr>
            <w:tcW w:w="6149" w:type="dxa"/>
          </w:tcPr>
          <w:p w14:paraId="244442B7" w14:textId="77777777" w:rsidR="00572DCE" w:rsidRPr="00951CAE" w:rsidRDefault="00572DCE" w:rsidP="00762141">
            <w:pPr>
              <w:pStyle w:val="NormalWeb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51CAE">
              <w:rPr>
                <w:rFonts w:ascii="Calibri" w:hAnsi="Calibri" w:cs="Calibri"/>
                <w:sz w:val="22"/>
                <w:szCs w:val="22"/>
              </w:rPr>
              <w:t>Control probe complementary to EUB338; non bacteria</w:t>
            </w:r>
          </w:p>
        </w:tc>
        <w:tc>
          <w:tcPr>
            <w:tcW w:w="2562" w:type="dxa"/>
          </w:tcPr>
          <w:p w14:paraId="69C02E56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(Wallner et al., 1993)</w:t>
            </w:r>
          </w:p>
        </w:tc>
      </w:tr>
      <w:tr w:rsidR="00572DCE" w:rsidRPr="00951CAE" w14:paraId="1674438F" w14:textId="77777777" w:rsidTr="00762141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026E5180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Eub 338 I</w:t>
            </w:r>
          </w:p>
        </w:tc>
        <w:tc>
          <w:tcPr>
            <w:tcW w:w="3537" w:type="dxa"/>
          </w:tcPr>
          <w:p w14:paraId="5D395C89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GCTGCCTCCCGTAGGAGT</w:t>
            </w:r>
          </w:p>
        </w:tc>
        <w:tc>
          <w:tcPr>
            <w:tcW w:w="6149" w:type="dxa"/>
          </w:tcPr>
          <w:p w14:paraId="7C9FE715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Most bacteria</w:t>
            </w:r>
          </w:p>
        </w:tc>
        <w:tc>
          <w:tcPr>
            <w:tcW w:w="2562" w:type="dxa"/>
          </w:tcPr>
          <w:p w14:paraId="1D711661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  <w:lang w:val="es-ES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(Amann et al., 1990)</w:t>
            </w:r>
          </w:p>
        </w:tc>
      </w:tr>
      <w:tr w:rsidR="00572DCE" w:rsidRPr="00951CAE" w14:paraId="40998B62" w14:textId="77777777" w:rsidTr="0076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055080E5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Eub 338 I-II</w:t>
            </w:r>
          </w:p>
        </w:tc>
        <w:tc>
          <w:tcPr>
            <w:tcW w:w="3537" w:type="dxa"/>
          </w:tcPr>
          <w:p w14:paraId="7C6D90A7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GCAGCCACCCGTAGGTGT</w:t>
            </w:r>
          </w:p>
        </w:tc>
        <w:tc>
          <w:tcPr>
            <w:tcW w:w="6149" w:type="dxa"/>
          </w:tcPr>
          <w:p w14:paraId="1253511B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Most bacteria</w:t>
            </w:r>
          </w:p>
        </w:tc>
        <w:tc>
          <w:tcPr>
            <w:tcW w:w="2562" w:type="dxa"/>
          </w:tcPr>
          <w:p w14:paraId="215B24A5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(Daims et al., 1999)</w:t>
            </w:r>
          </w:p>
        </w:tc>
      </w:tr>
      <w:tr w:rsidR="00572DCE" w:rsidRPr="00951CAE" w14:paraId="255E1B9F" w14:textId="77777777" w:rsidTr="00762141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D850657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Eub 338 I-II-III</w:t>
            </w:r>
          </w:p>
        </w:tc>
        <w:tc>
          <w:tcPr>
            <w:tcW w:w="3537" w:type="dxa"/>
          </w:tcPr>
          <w:p w14:paraId="53512C58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GCTGCCACCCGTAGGTGT</w:t>
            </w:r>
          </w:p>
        </w:tc>
        <w:tc>
          <w:tcPr>
            <w:tcW w:w="6149" w:type="dxa"/>
          </w:tcPr>
          <w:p w14:paraId="6C1F05A8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Most bacteria</w:t>
            </w:r>
          </w:p>
        </w:tc>
        <w:tc>
          <w:tcPr>
            <w:tcW w:w="2562" w:type="dxa"/>
          </w:tcPr>
          <w:p w14:paraId="7D28E820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(Daims et al., 1999)</w:t>
            </w:r>
          </w:p>
        </w:tc>
      </w:tr>
      <w:tr w:rsidR="00572DCE" w:rsidRPr="00951CAE" w14:paraId="4A4805E9" w14:textId="77777777" w:rsidTr="0076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6567050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Bif164</w:t>
            </w:r>
          </w:p>
        </w:tc>
        <w:tc>
          <w:tcPr>
            <w:tcW w:w="3537" w:type="dxa"/>
          </w:tcPr>
          <w:p w14:paraId="5D1F86D3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CATCCGGCATTACCACCC</w:t>
            </w:r>
          </w:p>
        </w:tc>
        <w:tc>
          <w:tcPr>
            <w:tcW w:w="6149" w:type="dxa"/>
          </w:tcPr>
          <w:p w14:paraId="1D843DB9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i/>
                <w:iCs/>
                <w:szCs w:val="22"/>
              </w:rPr>
              <w:t>Bifidobacterium</w:t>
            </w:r>
            <w:r w:rsidRPr="00951CAE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2562" w:type="dxa"/>
          </w:tcPr>
          <w:p w14:paraId="7540995A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(Langendijk et al., 1995)</w:t>
            </w:r>
          </w:p>
        </w:tc>
      </w:tr>
      <w:tr w:rsidR="00572DCE" w:rsidRPr="00951CAE" w14:paraId="66447545" w14:textId="77777777" w:rsidTr="00762141">
        <w:trPr>
          <w:trHeight w:val="1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8178AFE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Lab158</w:t>
            </w:r>
          </w:p>
        </w:tc>
        <w:tc>
          <w:tcPr>
            <w:tcW w:w="3537" w:type="dxa"/>
          </w:tcPr>
          <w:p w14:paraId="4A3C19D3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GGTATTAGCAYCTGTTTCCA</w:t>
            </w:r>
          </w:p>
        </w:tc>
        <w:tc>
          <w:tcPr>
            <w:tcW w:w="6149" w:type="dxa"/>
          </w:tcPr>
          <w:p w14:paraId="7EB78E89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Cs w:val="22"/>
              </w:rPr>
            </w:pPr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Lactobacillus,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Leuconosto</w:t>
            </w:r>
            <w:r>
              <w:rPr>
                <w:rFonts w:ascii="Calibri" w:hAnsi="Calibri" w:cs="Calibri"/>
                <w:i/>
                <w:iCs/>
                <w:szCs w:val="22"/>
              </w:rPr>
              <w:t>c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Weissella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 Lactococcus lactis; </w:t>
            </w:r>
            <w:r w:rsidRPr="00951CAE">
              <w:rPr>
                <w:rFonts w:ascii="Calibri" w:hAnsi="Calibri" w:cs="Calibri"/>
                <w:szCs w:val="22"/>
              </w:rPr>
              <w:t>all</w:t>
            </w:r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 Enterococcus,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Vagococcus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,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Melisococcus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,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Catellicoccus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,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Tetragenococcus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 xml:space="preserve">,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Pediococcus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>, 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Paralactobacillus</w:t>
            </w:r>
            <w:proofErr w:type="spellEnd"/>
            <w:r w:rsidRPr="00951CAE">
              <w:rPr>
                <w:rFonts w:ascii="Calibri" w:hAnsi="Calibri" w:cs="Calibri"/>
                <w:i/>
                <w:iCs/>
                <w:szCs w:val="22"/>
              </w:rPr>
              <w:t> </w:t>
            </w:r>
            <w:proofErr w:type="spellStart"/>
            <w:r w:rsidRPr="00951CAE">
              <w:rPr>
                <w:rFonts w:ascii="Calibri" w:hAnsi="Calibri" w:cs="Calibri"/>
                <w:szCs w:val="22"/>
              </w:rPr>
              <w:t>spp</w:t>
            </w:r>
            <w:proofErr w:type="spellEnd"/>
          </w:p>
        </w:tc>
        <w:tc>
          <w:tcPr>
            <w:tcW w:w="2562" w:type="dxa"/>
          </w:tcPr>
          <w:p w14:paraId="62E42AA2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(Franks et al., 1998)</w:t>
            </w:r>
          </w:p>
        </w:tc>
      </w:tr>
      <w:tr w:rsidR="00572DCE" w:rsidRPr="00951CAE" w14:paraId="59CA898E" w14:textId="77777777" w:rsidTr="0076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6B53D1E6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Bac303</w:t>
            </w:r>
          </w:p>
        </w:tc>
        <w:tc>
          <w:tcPr>
            <w:tcW w:w="3537" w:type="dxa"/>
          </w:tcPr>
          <w:p w14:paraId="09A84BBC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CCAATGTGGGGGACCTT</w:t>
            </w:r>
          </w:p>
        </w:tc>
        <w:tc>
          <w:tcPr>
            <w:tcW w:w="6149" w:type="dxa"/>
          </w:tcPr>
          <w:p w14:paraId="186E236C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 xml:space="preserve">Most </w:t>
            </w:r>
            <w:r w:rsidRPr="00951CAE">
              <w:rPr>
                <w:rFonts w:ascii="Calibri" w:hAnsi="Calibri" w:cs="Calibri"/>
                <w:i/>
                <w:iCs/>
                <w:szCs w:val="22"/>
              </w:rPr>
              <w:t>Bacteroidaceae</w:t>
            </w:r>
            <w:r w:rsidRPr="00951CAE">
              <w:rPr>
                <w:rFonts w:ascii="Calibri" w:hAnsi="Calibri" w:cs="Calibri"/>
                <w:szCs w:val="22"/>
              </w:rPr>
              <w:t xml:space="preserve"> and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</w:rPr>
              <w:t>Prevotellaceae</w:t>
            </w:r>
            <w:proofErr w:type="spellEnd"/>
          </w:p>
        </w:tc>
        <w:tc>
          <w:tcPr>
            <w:tcW w:w="2562" w:type="dxa"/>
          </w:tcPr>
          <w:p w14:paraId="54519B95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(Manz et al., 1996)</w:t>
            </w:r>
          </w:p>
        </w:tc>
      </w:tr>
      <w:tr w:rsidR="00572DCE" w:rsidRPr="00951CAE" w14:paraId="1D43AEE2" w14:textId="77777777" w:rsidTr="00762141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A0BF20A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lastRenderedPageBreak/>
              <w:t>Erec482</w:t>
            </w:r>
          </w:p>
        </w:tc>
        <w:tc>
          <w:tcPr>
            <w:tcW w:w="3537" w:type="dxa"/>
          </w:tcPr>
          <w:p w14:paraId="47514139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GCTTCTTAGTCARGTACCG</w:t>
            </w:r>
          </w:p>
        </w:tc>
        <w:tc>
          <w:tcPr>
            <w:tcW w:w="6149" w:type="dxa"/>
          </w:tcPr>
          <w:p w14:paraId="13400E83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 xml:space="preserve">Most of the bacteria in the </w:t>
            </w:r>
            <w:r w:rsidRPr="00951CAE">
              <w:rPr>
                <w:rFonts w:ascii="Calibri" w:hAnsi="Calibri" w:cs="Calibri"/>
                <w:i/>
                <w:szCs w:val="22"/>
              </w:rPr>
              <w:t>Clostridium</w:t>
            </w:r>
            <w:r w:rsidRPr="00951CAE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51CAE">
              <w:rPr>
                <w:rFonts w:ascii="Calibri" w:hAnsi="Calibri" w:cs="Calibri"/>
                <w:i/>
                <w:szCs w:val="22"/>
              </w:rPr>
              <w:t>coccoides</w:t>
            </w:r>
            <w:proofErr w:type="spellEnd"/>
            <w:r w:rsidRPr="00951CAE">
              <w:rPr>
                <w:rFonts w:ascii="Calibri" w:hAnsi="Calibri" w:cs="Calibri"/>
                <w:szCs w:val="22"/>
              </w:rPr>
              <w:t xml:space="preserve"> - </w:t>
            </w:r>
            <w:r w:rsidRPr="00951CAE">
              <w:rPr>
                <w:rFonts w:ascii="Calibri" w:hAnsi="Calibri" w:cs="Calibri"/>
                <w:i/>
                <w:szCs w:val="22"/>
              </w:rPr>
              <w:t>Eubacterium</w:t>
            </w:r>
            <w:r w:rsidRPr="00951CAE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51CAE">
              <w:rPr>
                <w:rFonts w:ascii="Calibri" w:hAnsi="Calibri" w:cs="Calibri"/>
                <w:i/>
                <w:szCs w:val="22"/>
              </w:rPr>
              <w:t>rectale</w:t>
            </w:r>
            <w:proofErr w:type="spellEnd"/>
            <w:r w:rsidRPr="00951CAE">
              <w:rPr>
                <w:rFonts w:ascii="Calibri" w:hAnsi="Calibri" w:cs="Calibri"/>
                <w:szCs w:val="22"/>
              </w:rPr>
              <w:t xml:space="preserve"> group (</w:t>
            </w:r>
            <w:r w:rsidRPr="00951CAE">
              <w:rPr>
                <w:rFonts w:ascii="Calibri" w:hAnsi="Calibri" w:cs="Calibri"/>
                <w:i/>
                <w:szCs w:val="22"/>
              </w:rPr>
              <w:t>Clostridium</w:t>
            </w:r>
            <w:r w:rsidRPr="00951CAE">
              <w:rPr>
                <w:rFonts w:ascii="Calibri" w:hAnsi="Calibri" w:cs="Calibri"/>
                <w:szCs w:val="22"/>
              </w:rPr>
              <w:t xml:space="preserve"> clusters </w:t>
            </w:r>
            <w:proofErr w:type="spellStart"/>
            <w:r w:rsidRPr="00951CAE">
              <w:rPr>
                <w:rFonts w:ascii="Calibri" w:hAnsi="Calibri" w:cs="Calibri"/>
                <w:szCs w:val="22"/>
              </w:rPr>
              <w:t>XIVa</w:t>
            </w:r>
            <w:proofErr w:type="spellEnd"/>
            <w:r w:rsidRPr="00951CAE">
              <w:rPr>
                <w:rFonts w:ascii="Calibri" w:hAnsi="Calibri" w:cs="Calibri"/>
                <w:szCs w:val="22"/>
              </w:rPr>
              <w:t xml:space="preserve"> and </w:t>
            </w:r>
            <w:proofErr w:type="spellStart"/>
            <w:r w:rsidRPr="00951CAE">
              <w:rPr>
                <w:rFonts w:ascii="Calibri" w:hAnsi="Calibri" w:cs="Calibri"/>
                <w:szCs w:val="22"/>
              </w:rPr>
              <w:t>XIVb</w:t>
            </w:r>
            <w:proofErr w:type="spellEnd"/>
            <w:r w:rsidRPr="00951CAE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2562" w:type="dxa"/>
          </w:tcPr>
          <w:p w14:paraId="1B797329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(Franks et al., 1998)</w:t>
            </w:r>
          </w:p>
        </w:tc>
      </w:tr>
      <w:tr w:rsidR="00572DCE" w:rsidRPr="00951CAE" w14:paraId="1A425D97" w14:textId="77777777" w:rsidTr="0076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898D66A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Rrec584</w:t>
            </w:r>
          </w:p>
        </w:tc>
        <w:tc>
          <w:tcPr>
            <w:tcW w:w="3537" w:type="dxa"/>
          </w:tcPr>
          <w:p w14:paraId="2A6670D5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TCAGACTTGCCGYACCGC</w:t>
            </w:r>
          </w:p>
        </w:tc>
        <w:tc>
          <w:tcPr>
            <w:tcW w:w="6149" w:type="dxa"/>
          </w:tcPr>
          <w:p w14:paraId="37036A6E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i/>
                <w:iCs/>
                <w:szCs w:val="22"/>
                <w:lang w:eastAsia="el-GR"/>
              </w:rPr>
              <w:t xml:space="preserve">Roseburia </w:t>
            </w:r>
            <w:r w:rsidRPr="00951CAE">
              <w:rPr>
                <w:rFonts w:ascii="Calibri" w:hAnsi="Calibri" w:cs="Calibri"/>
                <w:szCs w:val="22"/>
                <w:lang w:eastAsia="el-GR"/>
              </w:rPr>
              <w:t>genus (</w:t>
            </w:r>
            <w:r w:rsidRPr="00951CAE">
              <w:rPr>
                <w:rFonts w:ascii="Calibri" w:hAnsi="Calibri" w:cs="Calibri"/>
                <w:i/>
                <w:iCs/>
                <w:szCs w:val="22"/>
                <w:lang w:eastAsia="el-GR"/>
              </w:rPr>
              <w:t xml:space="preserve">E. </w:t>
            </w:r>
            <w:proofErr w:type="spellStart"/>
            <w:r w:rsidRPr="00951CAE">
              <w:rPr>
                <w:rFonts w:ascii="Calibri" w:hAnsi="Calibri" w:cs="Calibri"/>
                <w:i/>
                <w:iCs/>
                <w:szCs w:val="22"/>
                <w:lang w:eastAsia="el-GR"/>
              </w:rPr>
              <w:t>rectale</w:t>
            </w:r>
            <w:proofErr w:type="spellEnd"/>
            <w:r w:rsidRPr="00951CAE">
              <w:rPr>
                <w:rFonts w:ascii="Calibri" w:hAnsi="Calibri" w:cs="Calibri"/>
                <w:szCs w:val="22"/>
                <w:lang w:eastAsia="el-GR"/>
              </w:rPr>
              <w:t xml:space="preserve"> ,</w:t>
            </w:r>
            <w:r w:rsidRPr="00951CAE">
              <w:rPr>
                <w:rFonts w:ascii="Calibri" w:hAnsi="Calibri" w:cs="Calibri"/>
                <w:i/>
                <w:iCs/>
                <w:szCs w:val="22"/>
                <w:lang w:eastAsia="el-GR"/>
              </w:rPr>
              <w:t xml:space="preserve"> R. intestinalis</w:t>
            </w:r>
            <w:r w:rsidRPr="00951CAE">
              <w:rPr>
                <w:rFonts w:ascii="Calibri" w:hAnsi="Calibri" w:cs="Calibri"/>
                <w:szCs w:val="22"/>
                <w:lang w:eastAsia="el-GR"/>
              </w:rPr>
              <w:t>)</w:t>
            </w:r>
          </w:p>
        </w:tc>
        <w:tc>
          <w:tcPr>
            <w:tcW w:w="2562" w:type="dxa"/>
          </w:tcPr>
          <w:p w14:paraId="1916C9A4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color w:val="2A2A2A"/>
                <w:szCs w:val="22"/>
                <w:shd w:val="clear" w:color="auto" w:fill="FFFFFF"/>
              </w:rPr>
              <w:t xml:space="preserve"> (Walker et al., 2005)</w:t>
            </w:r>
          </w:p>
        </w:tc>
      </w:tr>
      <w:tr w:rsidR="00572DCE" w:rsidRPr="00951CAE" w14:paraId="37DA37F7" w14:textId="77777777" w:rsidTr="00762141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7F0D287E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Ato291</w:t>
            </w:r>
          </w:p>
        </w:tc>
        <w:tc>
          <w:tcPr>
            <w:tcW w:w="3537" w:type="dxa"/>
          </w:tcPr>
          <w:p w14:paraId="36D76448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GGTCGGTCTCTCAACCC</w:t>
            </w:r>
          </w:p>
        </w:tc>
        <w:tc>
          <w:tcPr>
            <w:tcW w:w="6149" w:type="dxa"/>
          </w:tcPr>
          <w:p w14:paraId="002EF766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i/>
                <w:iCs/>
                <w:szCs w:val="22"/>
              </w:rPr>
              <w:t>Atopobium</w:t>
            </w:r>
            <w:r w:rsidRPr="00951CAE">
              <w:rPr>
                <w:rFonts w:ascii="Calibri" w:hAnsi="Calibri" w:cs="Calibri"/>
                <w:szCs w:val="22"/>
              </w:rPr>
              <w:t xml:space="preserve"> cluster</w:t>
            </w:r>
          </w:p>
        </w:tc>
        <w:tc>
          <w:tcPr>
            <w:tcW w:w="2562" w:type="dxa"/>
          </w:tcPr>
          <w:p w14:paraId="24D5C458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color w:val="2A2A2A"/>
                <w:szCs w:val="22"/>
                <w:shd w:val="clear" w:color="auto" w:fill="FFFFFF"/>
              </w:rPr>
              <w:t xml:space="preserve"> (Harmsen et al., 2000)</w:t>
            </w:r>
          </w:p>
        </w:tc>
      </w:tr>
      <w:tr w:rsidR="00572DCE" w:rsidRPr="00951CAE" w14:paraId="52F655C9" w14:textId="77777777" w:rsidTr="0076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9A1D858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Prop853</w:t>
            </w:r>
          </w:p>
        </w:tc>
        <w:tc>
          <w:tcPr>
            <w:tcW w:w="3537" w:type="dxa"/>
          </w:tcPr>
          <w:p w14:paraId="60F58B19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ATTGCGTTAACTCCGGCAC</w:t>
            </w:r>
          </w:p>
        </w:tc>
        <w:tc>
          <w:tcPr>
            <w:tcW w:w="6149" w:type="dxa"/>
          </w:tcPr>
          <w:p w14:paraId="46E623D6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i/>
                <w:szCs w:val="22"/>
              </w:rPr>
              <w:t>Clostridium</w:t>
            </w:r>
            <w:r w:rsidRPr="00951CAE">
              <w:rPr>
                <w:rFonts w:ascii="Calibri" w:hAnsi="Calibri" w:cs="Calibri"/>
                <w:szCs w:val="22"/>
              </w:rPr>
              <w:t xml:space="preserve"> cluster IX</w:t>
            </w:r>
          </w:p>
        </w:tc>
        <w:tc>
          <w:tcPr>
            <w:tcW w:w="2562" w:type="dxa"/>
          </w:tcPr>
          <w:p w14:paraId="05F995D9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color w:val="2A2A2A"/>
                <w:szCs w:val="22"/>
                <w:shd w:val="clear" w:color="auto" w:fill="FFFFFF"/>
              </w:rPr>
              <w:t xml:space="preserve"> (Walker et al., 2005)</w:t>
            </w:r>
          </w:p>
        </w:tc>
      </w:tr>
      <w:tr w:rsidR="00572DCE" w:rsidRPr="00951CAE" w14:paraId="0CEE5E8B" w14:textId="77777777" w:rsidTr="00762141">
        <w:trPr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4F45E373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Fprau655</w:t>
            </w:r>
          </w:p>
        </w:tc>
        <w:tc>
          <w:tcPr>
            <w:tcW w:w="3537" w:type="dxa"/>
          </w:tcPr>
          <w:p w14:paraId="47338E0A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CGCCTACCTCTGCACTAC</w:t>
            </w:r>
          </w:p>
        </w:tc>
        <w:tc>
          <w:tcPr>
            <w:tcW w:w="6149" w:type="dxa"/>
          </w:tcPr>
          <w:p w14:paraId="1FDCF89E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i/>
                <w:szCs w:val="22"/>
              </w:rPr>
              <w:t>Faecalibacterium</w:t>
            </w:r>
            <w:r w:rsidRPr="00951CAE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51CAE">
              <w:rPr>
                <w:rFonts w:ascii="Calibri" w:hAnsi="Calibri" w:cs="Calibri"/>
                <w:i/>
                <w:szCs w:val="22"/>
              </w:rPr>
              <w:t>prausnitzii</w:t>
            </w:r>
            <w:proofErr w:type="spellEnd"/>
            <w:r w:rsidRPr="00951CAE">
              <w:rPr>
                <w:rFonts w:ascii="Calibri" w:hAnsi="Calibri" w:cs="Calibri"/>
                <w:szCs w:val="22"/>
              </w:rPr>
              <w:t xml:space="preserve"> and relatives</w:t>
            </w:r>
          </w:p>
        </w:tc>
        <w:tc>
          <w:tcPr>
            <w:tcW w:w="2562" w:type="dxa"/>
          </w:tcPr>
          <w:p w14:paraId="7B3A76D9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color w:val="2A2A2A"/>
                <w:szCs w:val="22"/>
                <w:shd w:val="clear" w:color="auto" w:fill="FFFFFF"/>
              </w:rPr>
              <w:t xml:space="preserve"> (Devereux et al., 1992)</w:t>
            </w:r>
          </w:p>
        </w:tc>
      </w:tr>
      <w:tr w:rsidR="00572DCE" w:rsidRPr="00951CAE" w14:paraId="0E8F6953" w14:textId="77777777" w:rsidTr="00762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FADA9C7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DSV687</w:t>
            </w:r>
          </w:p>
        </w:tc>
        <w:tc>
          <w:tcPr>
            <w:tcW w:w="3537" w:type="dxa"/>
          </w:tcPr>
          <w:p w14:paraId="3457025F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TACGGATTTCACTCCT</w:t>
            </w:r>
          </w:p>
        </w:tc>
        <w:tc>
          <w:tcPr>
            <w:tcW w:w="6149" w:type="dxa"/>
          </w:tcPr>
          <w:p w14:paraId="0902D081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Most</w:t>
            </w:r>
            <w:r w:rsidRPr="00951CAE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951CAE">
              <w:rPr>
                <w:rFonts w:ascii="Calibri" w:hAnsi="Calibri" w:cs="Calibri"/>
                <w:szCs w:val="22"/>
              </w:rPr>
              <w:t>Desulfovibrionales</w:t>
            </w:r>
            <w:proofErr w:type="spellEnd"/>
            <w:r w:rsidRPr="00951CAE">
              <w:rPr>
                <w:rFonts w:ascii="Calibri" w:hAnsi="Calibri" w:cs="Calibri"/>
                <w:i/>
                <w:szCs w:val="22"/>
              </w:rPr>
              <w:t xml:space="preserve"> </w:t>
            </w:r>
            <w:r w:rsidRPr="00951CAE">
              <w:rPr>
                <w:rFonts w:ascii="Calibri" w:hAnsi="Calibri" w:cs="Calibri"/>
                <w:szCs w:val="22"/>
              </w:rPr>
              <w:t xml:space="preserve">(excluding </w:t>
            </w:r>
            <w:proofErr w:type="spellStart"/>
            <w:r w:rsidRPr="00951CAE">
              <w:rPr>
                <w:rFonts w:ascii="Calibri" w:hAnsi="Calibri" w:cs="Calibri"/>
                <w:i/>
                <w:szCs w:val="22"/>
              </w:rPr>
              <w:t>Lawsonia</w:t>
            </w:r>
            <w:proofErr w:type="spellEnd"/>
            <w:r w:rsidRPr="00951CAE">
              <w:rPr>
                <w:rFonts w:ascii="Calibri" w:hAnsi="Calibri" w:cs="Calibri"/>
                <w:szCs w:val="22"/>
              </w:rPr>
              <w:t>) and many</w:t>
            </w:r>
            <w:r w:rsidRPr="00951CAE"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 w:rsidRPr="00951CAE">
              <w:rPr>
                <w:rFonts w:ascii="Calibri" w:hAnsi="Calibri" w:cs="Calibri"/>
                <w:szCs w:val="22"/>
              </w:rPr>
              <w:t>Desulforomonales</w:t>
            </w:r>
            <w:proofErr w:type="spellEnd"/>
          </w:p>
        </w:tc>
        <w:tc>
          <w:tcPr>
            <w:tcW w:w="2562" w:type="dxa"/>
          </w:tcPr>
          <w:p w14:paraId="4C059E1C" w14:textId="77777777" w:rsidR="00572DCE" w:rsidRPr="00951CAE" w:rsidRDefault="00572DCE" w:rsidP="0076214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color w:val="2A2A2A"/>
                <w:szCs w:val="22"/>
                <w:shd w:val="clear" w:color="auto" w:fill="FFFFFF"/>
              </w:rPr>
              <w:t xml:space="preserve"> (Hold et al., 2003)</w:t>
            </w:r>
          </w:p>
        </w:tc>
      </w:tr>
      <w:tr w:rsidR="00572DCE" w:rsidRPr="00951CAE" w14:paraId="229664A3" w14:textId="77777777" w:rsidTr="00762141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EC83DC4" w14:textId="77777777" w:rsidR="00572DCE" w:rsidRPr="00951CAE" w:rsidRDefault="00572DCE" w:rsidP="00762141">
            <w:pPr>
              <w:spacing w:line="480" w:lineRule="auto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Chis150</w:t>
            </w:r>
          </w:p>
        </w:tc>
        <w:tc>
          <w:tcPr>
            <w:tcW w:w="3537" w:type="dxa"/>
          </w:tcPr>
          <w:p w14:paraId="52F64CE9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>TTATGCGGTATTAATCTYCCTTT</w:t>
            </w:r>
          </w:p>
        </w:tc>
        <w:tc>
          <w:tcPr>
            <w:tcW w:w="6149" w:type="dxa"/>
          </w:tcPr>
          <w:p w14:paraId="4DF17623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szCs w:val="22"/>
              </w:rPr>
              <w:t xml:space="preserve">Most of the bacteria in the </w:t>
            </w:r>
            <w:r w:rsidRPr="00951CAE">
              <w:rPr>
                <w:rFonts w:ascii="Calibri" w:hAnsi="Calibri" w:cs="Calibri"/>
                <w:i/>
                <w:szCs w:val="22"/>
              </w:rPr>
              <w:t>Clostridium</w:t>
            </w:r>
            <w:r w:rsidRPr="00951CAE">
              <w:rPr>
                <w:rFonts w:ascii="Calibri" w:hAnsi="Calibri" w:cs="Calibri"/>
                <w:szCs w:val="22"/>
              </w:rPr>
              <w:t xml:space="preserve"> </w:t>
            </w:r>
            <w:r w:rsidRPr="00951CAE">
              <w:rPr>
                <w:rFonts w:ascii="Calibri" w:hAnsi="Calibri" w:cs="Calibri"/>
                <w:i/>
                <w:szCs w:val="22"/>
              </w:rPr>
              <w:t>histolyticum</w:t>
            </w:r>
            <w:r w:rsidRPr="00951CAE">
              <w:rPr>
                <w:rFonts w:ascii="Calibri" w:hAnsi="Calibri" w:cs="Calibri"/>
                <w:szCs w:val="22"/>
              </w:rPr>
              <w:t xml:space="preserve"> group (</w:t>
            </w:r>
            <w:r w:rsidRPr="00951CAE">
              <w:rPr>
                <w:rFonts w:ascii="Calibri" w:hAnsi="Calibri" w:cs="Calibri"/>
                <w:i/>
                <w:szCs w:val="22"/>
              </w:rPr>
              <w:t>Clostridium</w:t>
            </w:r>
            <w:r w:rsidRPr="00951CAE">
              <w:rPr>
                <w:rFonts w:ascii="Calibri" w:hAnsi="Calibri" w:cs="Calibri"/>
                <w:szCs w:val="22"/>
              </w:rPr>
              <w:t xml:space="preserve"> clusters I and II)</w:t>
            </w:r>
          </w:p>
        </w:tc>
        <w:tc>
          <w:tcPr>
            <w:tcW w:w="2562" w:type="dxa"/>
          </w:tcPr>
          <w:p w14:paraId="434E0158" w14:textId="77777777" w:rsidR="00572DCE" w:rsidRPr="00951CAE" w:rsidRDefault="00572DCE" w:rsidP="0076214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951CAE">
              <w:rPr>
                <w:rFonts w:ascii="Calibri" w:hAnsi="Calibri" w:cs="Calibri"/>
                <w:noProof/>
                <w:szCs w:val="22"/>
              </w:rPr>
              <w:t xml:space="preserve"> (Franks et al., 1998)</w:t>
            </w:r>
          </w:p>
        </w:tc>
      </w:tr>
    </w:tbl>
    <w:p w14:paraId="7E9F889E" w14:textId="77777777" w:rsidR="00572DCE" w:rsidRDefault="00572DCE" w:rsidP="00572DCE">
      <w:pPr>
        <w:spacing w:line="480" w:lineRule="auto"/>
        <w:rPr>
          <w:rFonts w:ascii="Calibri" w:hAnsi="Calibri" w:cs="Calibri"/>
        </w:rPr>
        <w:sectPr w:rsidR="00572DCE" w:rsidSect="00572DC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17B3CA7" w14:textId="03F6CB6A" w:rsidR="002960A5" w:rsidRPr="00F203C3" w:rsidRDefault="002960A5" w:rsidP="002960A5">
      <w:pPr>
        <w:spacing w:line="360" w:lineRule="auto"/>
      </w:pPr>
      <w:r w:rsidRPr="00F203C3">
        <w:lastRenderedPageBreak/>
        <w:t xml:space="preserve">Cite as: Huang, Manxi (2025): </w:t>
      </w:r>
      <w:r w:rsidR="00236204">
        <w:t>Exploring the prebiotic potential of cellobiose using in vitro batch fermentation gut model</w:t>
      </w:r>
      <w:r w:rsidR="0040634F">
        <w:t xml:space="preserve">. </w:t>
      </w:r>
      <w:r w:rsidRPr="00F203C3">
        <w:t>University of Reading. Dataset.</w:t>
      </w:r>
      <w:r w:rsidR="003E6F20">
        <w:t xml:space="preserve"> </w:t>
      </w:r>
      <w:hyperlink r:id="rId6" w:history="1">
        <w:r w:rsidR="003E6F20" w:rsidRPr="00780D39">
          <w:rPr>
            <w:rStyle w:val="Hyperlink"/>
          </w:rPr>
          <w:t>https://doi.org/</w:t>
        </w:r>
        <w:r w:rsidR="003E6F20" w:rsidRPr="00780D39">
          <w:rPr>
            <w:rStyle w:val="Hyperlink"/>
            <w:rFonts w:ascii="Aptos" w:hAnsi="Aptos"/>
            <w:shd w:val="clear" w:color="auto" w:fill="FFFFFF"/>
          </w:rPr>
          <w:t>10.17864/1947.001505</w:t>
        </w:r>
      </w:hyperlink>
      <w:r w:rsidR="003E6F20">
        <w:rPr>
          <w:rFonts w:ascii="Aptos" w:hAnsi="Aptos"/>
          <w:color w:val="000000"/>
          <w:shd w:val="clear" w:color="auto" w:fill="FFFFFF"/>
        </w:rPr>
        <w:t xml:space="preserve"> </w:t>
      </w:r>
      <w:r w:rsidR="00633585">
        <w:rPr>
          <w:rFonts w:ascii="Aptos" w:hAnsi="Aptos"/>
          <w:color w:val="000000"/>
          <w:shd w:val="clear" w:color="auto" w:fill="FFFFFF"/>
        </w:rPr>
        <w:t xml:space="preserve"> </w:t>
      </w:r>
    </w:p>
    <w:p w14:paraId="6FD28372" w14:textId="77777777" w:rsidR="002960A5" w:rsidRPr="00F203C3" w:rsidRDefault="002960A5" w:rsidP="002960A5">
      <w:pPr>
        <w:spacing w:line="360" w:lineRule="auto"/>
      </w:pPr>
    </w:p>
    <w:p w14:paraId="7A098FC4" w14:textId="77777777" w:rsidR="002960A5" w:rsidRPr="00F203C3" w:rsidRDefault="002960A5" w:rsidP="002960A5">
      <w:pPr>
        <w:spacing w:line="360" w:lineRule="auto"/>
      </w:pPr>
      <w:r w:rsidRPr="00F203C3">
        <w:t xml:space="preserve">Related publication: </w:t>
      </w:r>
    </w:p>
    <w:p w14:paraId="5BDD5866" w14:textId="4EA3EAE2" w:rsidR="002960A5" w:rsidRPr="00F203C3" w:rsidRDefault="002960A5" w:rsidP="002960A5">
      <w:pPr>
        <w:spacing w:line="360" w:lineRule="auto"/>
      </w:pPr>
      <w:r w:rsidRPr="00F203C3">
        <w:t>1. Huang, M., Jackson, P.P.J., Chatzifragkou, A., &amp; Rastall, R.A.</w:t>
      </w:r>
      <w:r w:rsidR="00026998">
        <w:t xml:space="preserve"> </w:t>
      </w:r>
      <w:r w:rsidR="00FE58F2">
        <w:t xml:space="preserve">(2026). </w:t>
      </w:r>
      <w:r w:rsidRPr="002960A5">
        <w:rPr>
          <w:rFonts w:ascii="Aptos" w:eastAsia="Times New Roman" w:hAnsi="Aptos" w:cs="Times New Roman"/>
          <w:color w:val="212121"/>
          <w:kern w:val="0"/>
          <w:lang w:eastAsia="zh-CN"/>
          <w14:ligatures w14:val="none"/>
        </w:rPr>
        <w:t>Cellobiose as a candidate prebiotic: Enhanced butyrate production in an in vitro human gut fermentation model</w:t>
      </w:r>
      <w:r w:rsidR="00026998">
        <w:rPr>
          <w:rFonts w:ascii="Aptos" w:eastAsia="Times New Roman" w:hAnsi="Aptos" w:cs="Times New Roman"/>
          <w:color w:val="212121"/>
          <w:kern w:val="0"/>
          <w:lang w:eastAsia="zh-CN"/>
          <w14:ligatures w14:val="none"/>
        </w:rPr>
        <w:t xml:space="preserve">. </w:t>
      </w:r>
      <w:r w:rsidR="00026998" w:rsidRPr="00FE58F2">
        <w:rPr>
          <w:rFonts w:ascii="Aptos" w:eastAsia="Times New Roman" w:hAnsi="Aptos" w:cs="Times New Roman"/>
          <w:i/>
          <w:iCs/>
          <w:color w:val="212121"/>
          <w:kern w:val="0"/>
          <w:lang w:eastAsia="zh-CN"/>
          <w14:ligatures w14:val="none"/>
        </w:rPr>
        <w:t>Journal of Applied Microbiology</w:t>
      </w:r>
      <w:r w:rsidR="00FE58F2">
        <w:rPr>
          <w:rFonts w:ascii="Aptos" w:eastAsia="Times New Roman" w:hAnsi="Aptos" w:cs="Times New Roman"/>
          <w:color w:val="212121"/>
          <w:kern w:val="0"/>
          <w:lang w:eastAsia="zh-CN"/>
          <w14:ligatures w14:val="none"/>
        </w:rPr>
        <w:t xml:space="preserve">. </w:t>
      </w:r>
    </w:p>
    <w:p w14:paraId="5595272E" w14:textId="77777777" w:rsidR="002960A5" w:rsidRPr="00F203C3" w:rsidRDefault="002960A5" w:rsidP="002960A5">
      <w:pPr>
        <w:spacing w:line="360" w:lineRule="auto"/>
      </w:pPr>
      <w:r w:rsidRPr="00F203C3">
        <w:t xml:space="preserve">2. Huang, M. (2025). Extraction of cellobiose from spent coffee grounds and prebiotic </w:t>
      </w:r>
    </w:p>
    <w:p w14:paraId="560CFFA7" w14:textId="77777777" w:rsidR="002960A5" w:rsidRPr="00F203C3" w:rsidRDefault="002960A5" w:rsidP="002960A5">
      <w:pPr>
        <w:spacing w:line="360" w:lineRule="auto"/>
      </w:pPr>
      <w:r w:rsidRPr="00F203C3">
        <w:t>potential of commercial cellobiose. PhD Thesis, University of Reading.</w:t>
      </w:r>
    </w:p>
    <w:p w14:paraId="4BB891BE" w14:textId="77777777" w:rsidR="002960A5" w:rsidRPr="00F203C3" w:rsidRDefault="002960A5" w:rsidP="002960A5">
      <w:pPr>
        <w:spacing w:line="360" w:lineRule="auto"/>
      </w:pPr>
    </w:p>
    <w:p w14:paraId="02BC0B55" w14:textId="77777777" w:rsidR="002960A5" w:rsidRPr="00F203C3" w:rsidRDefault="002960A5" w:rsidP="002960A5">
      <w:pPr>
        <w:spacing w:line="360" w:lineRule="auto"/>
      </w:pPr>
      <w:r w:rsidRPr="00F203C3">
        <w:t>2. TERMS OF USE</w:t>
      </w:r>
    </w:p>
    <w:p w14:paraId="030B5F2D" w14:textId="77777777" w:rsidR="002960A5" w:rsidRPr="00F203C3" w:rsidRDefault="002960A5" w:rsidP="002960A5">
      <w:pPr>
        <w:spacing w:line="360" w:lineRule="auto"/>
      </w:pPr>
      <w:r w:rsidRPr="00F203C3">
        <w:t>------------</w:t>
      </w:r>
    </w:p>
    <w:p w14:paraId="664EE3AA" w14:textId="77777777" w:rsidR="002960A5" w:rsidRPr="00F203C3" w:rsidRDefault="002960A5" w:rsidP="002960A5">
      <w:pPr>
        <w:spacing w:line="360" w:lineRule="auto"/>
      </w:pPr>
    </w:p>
    <w:p w14:paraId="7B80E8EF" w14:textId="4A143C95" w:rsidR="002960A5" w:rsidRPr="00F203C3" w:rsidRDefault="002960A5" w:rsidP="002960A5">
      <w:pPr>
        <w:spacing w:line="360" w:lineRule="auto"/>
      </w:pPr>
      <w:r w:rsidRPr="00F203C3">
        <w:t>Copyright 202</w:t>
      </w:r>
      <w:r w:rsidR="0040634F">
        <w:t>6</w:t>
      </w:r>
      <w:r w:rsidRPr="00F203C3">
        <w:t xml:space="preserve"> Manxi Huang. This dataset is licensed under a Creative Commons </w:t>
      </w:r>
    </w:p>
    <w:p w14:paraId="1B751EE0" w14:textId="77777777" w:rsidR="002960A5" w:rsidRPr="00F203C3" w:rsidRDefault="002960A5" w:rsidP="002960A5">
      <w:pPr>
        <w:spacing w:line="360" w:lineRule="auto"/>
        <w:rPr>
          <w:lang w:val="fr-FR"/>
        </w:rPr>
      </w:pPr>
      <w:r w:rsidRPr="00F203C3">
        <w:rPr>
          <w:lang w:val="fr-FR"/>
        </w:rPr>
        <w:t>Attribution 4.0 International Licence : https://creativecommons.org/licenses/by/4.0/.</w:t>
      </w:r>
    </w:p>
    <w:p w14:paraId="772E2933" w14:textId="77777777" w:rsidR="002960A5" w:rsidRPr="00F203C3" w:rsidRDefault="002960A5" w:rsidP="002960A5">
      <w:pPr>
        <w:spacing w:line="360" w:lineRule="auto"/>
        <w:rPr>
          <w:lang w:val="fr-FR"/>
        </w:rPr>
      </w:pPr>
    </w:p>
    <w:p w14:paraId="40EF81B6" w14:textId="77777777" w:rsidR="002960A5" w:rsidRPr="00F203C3" w:rsidRDefault="002960A5" w:rsidP="002960A5">
      <w:pPr>
        <w:spacing w:line="360" w:lineRule="auto"/>
      </w:pPr>
      <w:r w:rsidRPr="00F203C3">
        <w:t>3. PROJECT AND FUNDING INFORMATION</w:t>
      </w:r>
    </w:p>
    <w:p w14:paraId="3F500A72" w14:textId="77777777" w:rsidR="002960A5" w:rsidRPr="00F203C3" w:rsidRDefault="002960A5" w:rsidP="002960A5">
      <w:pPr>
        <w:spacing w:line="360" w:lineRule="auto"/>
      </w:pPr>
      <w:r w:rsidRPr="00F203C3">
        <w:t>------------</w:t>
      </w:r>
    </w:p>
    <w:p w14:paraId="7CAD7D65" w14:textId="77777777" w:rsidR="002960A5" w:rsidRPr="00F203C3" w:rsidRDefault="002960A5" w:rsidP="002960A5">
      <w:pPr>
        <w:spacing w:line="360" w:lineRule="auto"/>
      </w:pPr>
    </w:p>
    <w:p w14:paraId="26B07E8F" w14:textId="77777777" w:rsidR="002960A5" w:rsidRPr="00F203C3" w:rsidRDefault="002960A5" w:rsidP="002960A5">
      <w:pPr>
        <w:spacing w:line="360" w:lineRule="auto"/>
      </w:pPr>
      <w:r w:rsidRPr="00F203C3">
        <w:t xml:space="preserve">Title: PhD Research - Extraction of cellobiose from spent coffee grounds and prebiotic </w:t>
      </w:r>
    </w:p>
    <w:p w14:paraId="5BF3F8F5" w14:textId="77777777" w:rsidR="002960A5" w:rsidRPr="00F203C3" w:rsidRDefault="002960A5" w:rsidP="002960A5">
      <w:pPr>
        <w:spacing w:line="360" w:lineRule="auto"/>
      </w:pPr>
      <w:r w:rsidRPr="00F203C3">
        <w:t>potential of commercial cellobiose</w:t>
      </w:r>
    </w:p>
    <w:p w14:paraId="39A2B402" w14:textId="77777777" w:rsidR="002960A5" w:rsidRPr="00F203C3" w:rsidRDefault="002960A5" w:rsidP="002960A5">
      <w:pPr>
        <w:spacing w:line="360" w:lineRule="auto"/>
      </w:pPr>
    </w:p>
    <w:p w14:paraId="31E084DF" w14:textId="77777777" w:rsidR="002960A5" w:rsidRPr="00F203C3" w:rsidRDefault="002960A5" w:rsidP="002960A5">
      <w:pPr>
        <w:spacing w:line="360" w:lineRule="auto"/>
      </w:pPr>
      <w:r w:rsidRPr="00F203C3">
        <w:t>Dates: January 2022 - November 2025</w:t>
      </w:r>
    </w:p>
    <w:p w14:paraId="0D56382E" w14:textId="77777777" w:rsidR="002960A5" w:rsidRPr="00F203C3" w:rsidRDefault="002960A5" w:rsidP="002960A5">
      <w:pPr>
        <w:spacing w:line="360" w:lineRule="auto"/>
      </w:pPr>
    </w:p>
    <w:p w14:paraId="3FB5F608" w14:textId="77777777" w:rsidR="002960A5" w:rsidRPr="00F203C3" w:rsidRDefault="002960A5" w:rsidP="002960A5">
      <w:pPr>
        <w:spacing w:line="360" w:lineRule="auto"/>
      </w:pPr>
      <w:r w:rsidRPr="00F203C3">
        <w:t>Funding organisation: Self-Funded</w:t>
      </w:r>
    </w:p>
    <w:p w14:paraId="42AC6906" w14:textId="77777777" w:rsidR="002960A5" w:rsidRDefault="002960A5" w:rsidP="002960A5">
      <w:pPr>
        <w:spacing w:line="360" w:lineRule="auto"/>
      </w:pPr>
    </w:p>
    <w:p w14:paraId="6B45D608" w14:textId="77777777" w:rsidR="002960A5" w:rsidRPr="00F203C3" w:rsidRDefault="002960A5" w:rsidP="002960A5">
      <w:pPr>
        <w:spacing w:line="360" w:lineRule="auto"/>
      </w:pPr>
      <w:r w:rsidRPr="00F203C3">
        <w:t>Grant no.: N/A</w:t>
      </w:r>
    </w:p>
    <w:p w14:paraId="7130DC5A" w14:textId="77777777" w:rsidR="002960A5" w:rsidRPr="00F203C3" w:rsidRDefault="002960A5" w:rsidP="002960A5">
      <w:pPr>
        <w:spacing w:line="360" w:lineRule="auto"/>
      </w:pPr>
    </w:p>
    <w:p w14:paraId="7A8254AA" w14:textId="77777777" w:rsidR="002960A5" w:rsidRPr="00F203C3" w:rsidRDefault="002960A5" w:rsidP="002960A5">
      <w:pPr>
        <w:spacing w:line="360" w:lineRule="auto"/>
      </w:pPr>
      <w:r w:rsidRPr="00F203C3">
        <w:t>This dataset was generated as part of a PhD project at the University of Reading.</w:t>
      </w:r>
    </w:p>
    <w:p w14:paraId="74F6F437" w14:textId="77777777" w:rsidR="002960A5" w:rsidRPr="00F203C3" w:rsidRDefault="002960A5" w:rsidP="002960A5">
      <w:pPr>
        <w:spacing w:line="360" w:lineRule="auto"/>
      </w:pPr>
    </w:p>
    <w:p w14:paraId="4103E8ED" w14:textId="77777777" w:rsidR="002960A5" w:rsidRPr="00F203C3" w:rsidRDefault="002960A5" w:rsidP="002960A5">
      <w:pPr>
        <w:spacing w:line="360" w:lineRule="auto"/>
      </w:pPr>
      <w:r w:rsidRPr="00F203C3">
        <w:t>4. CONTENTS</w:t>
      </w:r>
    </w:p>
    <w:p w14:paraId="4E0BAB2E" w14:textId="77777777" w:rsidR="002960A5" w:rsidRPr="00F203C3" w:rsidRDefault="002960A5" w:rsidP="002960A5">
      <w:pPr>
        <w:spacing w:line="360" w:lineRule="auto"/>
      </w:pPr>
      <w:r w:rsidRPr="00F203C3">
        <w:t>------------</w:t>
      </w:r>
    </w:p>
    <w:p w14:paraId="30B2F0CF" w14:textId="77777777" w:rsidR="002960A5" w:rsidRPr="00F203C3" w:rsidRDefault="002960A5" w:rsidP="002960A5">
      <w:pPr>
        <w:spacing w:line="360" w:lineRule="auto"/>
      </w:pPr>
      <w:r w:rsidRPr="00F203C3">
        <w:t>File listing</w:t>
      </w:r>
    </w:p>
    <w:p w14:paraId="5BCCFAA8" w14:textId="77777777" w:rsidR="002960A5" w:rsidRPr="00F203C3" w:rsidRDefault="002960A5" w:rsidP="002960A5">
      <w:pPr>
        <w:spacing w:line="360" w:lineRule="auto"/>
      </w:pPr>
    </w:p>
    <w:p w14:paraId="61B8E77B" w14:textId="41EABD76" w:rsidR="002960A5" w:rsidRPr="00F203C3" w:rsidRDefault="002960A5" w:rsidP="002960A5">
      <w:pPr>
        <w:pStyle w:val="ListParagraph"/>
        <w:numPr>
          <w:ilvl w:val="0"/>
          <w:numId w:val="4"/>
        </w:numPr>
        <w:spacing w:line="360" w:lineRule="auto"/>
      </w:pPr>
      <w:r w:rsidRPr="00F203C3">
        <w:t xml:space="preserve">File Name: </w:t>
      </w:r>
      <w:r w:rsidR="0016502F">
        <w:t>InVitro</w:t>
      </w:r>
      <w:r w:rsidRPr="00F203C3">
        <w:t>_</w:t>
      </w:r>
      <w:r w:rsidR="0016502F">
        <w:t>Bacteriology</w:t>
      </w:r>
      <w:r w:rsidR="0016502F" w:rsidRPr="00F203C3">
        <w:t xml:space="preserve"> </w:t>
      </w:r>
      <w:r w:rsidRPr="00F203C3">
        <w:t xml:space="preserve">_Data.xlsx </w:t>
      </w:r>
    </w:p>
    <w:p w14:paraId="0D953B78" w14:textId="6FBFF404" w:rsidR="002960A5" w:rsidRPr="005974E5" w:rsidRDefault="002960A5" w:rsidP="002960A5">
      <w:pPr>
        <w:spacing w:line="360" w:lineRule="auto"/>
      </w:pPr>
      <w:r w:rsidRPr="005974E5">
        <w:rPr>
          <w:b/>
          <w:bCs/>
        </w:rPr>
        <w:t>Description:</w:t>
      </w:r>
      <w:r w:rsidRPr="005974E5">
        <w:t xml:space="preserve"> </w:t>
      </w:r>
      <w:r w:rsidR="007F5A7B">
        <w:t>The raw bacterial counts (expressed as log10 cells/ml) for the targeted bacterial groups at all time points.</w:t>
      </w:r>
    </w:p>
    <w:p w14:paraId="0807FD11" w14:textId="31E8E998" w:rsidR="00F225EB" w:rsidRDefault="002960A5" w:rsidP="00F93D18">
      <w:pPr>
        <w:numPr>
          <w:ilvl w:val="1"/>
          <w:numId w:val="3"/>
        </w:numPr>
        <w:tabs>
          <w:tab w:val="num" w:pos="1440"/>
        </w:tabs>
        <w:spacing w:line="360" w:lineRule="auto"/>
      </w:pPr>
      <w:r w:rsidRPr="00F225EB">
        <w:rPr>
          <w:b/>
          <w:bCs/>
        </w:rPr>
        <w:t>Tab 1 (</w:t>
      </w:r>
      <w:proofErr w:type="spellStart"/>
      <w:r w:rsidR="00123719" w:rsidRPr="00F225EB">
        <w:rPr>
          <w:b/>
          <w:bCs/>
        </w:rPr>
        <w:t>Raw_counts</w:t>
      </w:r>
      <w:proofErr w:type="spellEnd"/>
      <w:r w:rsidRPr="00F225EB">
        <w:rPr>
          <w:b/>
          <w:bCs/>
        </w:rPr>
        <w:t>):</w:t>
      </w:r>
      <w:r w:rsidRPr="005974E5">
        <w:t xml:space="preserve"> </w:t>
      </w:r>
      <w:r w:rsidR="00733CC7">
        <w:t>This tab contains the raw counts of each donor</w:t>
      </w:r>
      <w:r w:rsidR="00F93D18">
        <w:t xml:space="preserve">, using different treatment at different time under different bacteria type using different probes. </w:t>
      </w:r>
    </w:p>
    <w:p w14:paraId="476322B6" w14:textId="29F07011" w:rsidR="002960A5" w:rsidRPr="00F203C3" w:rsidRDefault="002960A5" w:rsidP="00F225EB">
      <w:pPr>
        <w:spacing w:line="360" w:lineRule="auto"/>
      </w:pPr>
      <w:r w:rsidRPr="00F203C3">
        <w:t>Variables:</w:t>
      </w:r>
    </w:p>
    <w:p w14:paraId="41377636" w14:textId="283EB0E7" w:rsidR="002960A5" w:rsidRPr="00F203C3" w:rsidRDefault="00F93D18" w:rsidP="002960A5">
      <w:pPr>
        <w:spacing w:line="360" w:lineRule="auto"/>
      </w:pPr>
      <w:r w:rsidRPr="006C7422">
        <w:rPr>
          <w:b/>
          <w:bCs/>
        </w:rPr>
        <w:t>Donor</w:t>
      </w:r>
      <w:r w:rsidR="002960A5" w:rsidRPr="00F203C3">
        <w:t>: Anonymized participant identifier</w:t>
      </w:r>
      <w:r>
        <w:t>, D1, D2 and D3</w:t>
      </w:r>
    </w:p>
    <w:p w14:paraId="2E29ACFE" w14:textId="6D46E84A" w:rsidR="00F93D18" w:rsidRDefault="001A1490" w:rsidP="002960A5">
      <w:pPr>
        <w:spacing w:line="360" w:lineRule="auto"/>
      </w:pPr>
      <w:r w:rsidRPr="006C7422">
        <w:rPr>
          <w:b/>
          <w:bCs/>
        </w:rPr>
        <w:t>Treatment</w:t>
      </w:r>
      <w:r>
        <w:t>: Negative (No Carbohydrate added), OF P95(FOS; Oligofructose P95) and Cellobiose</w:t>
      </w:r>
    </w:p>
    <w:p w14:paraId="0FE02D7D" w14:textId="580D7612" w:rsidR="002960A5" w:rsidRDefault="00F540AF" w:rsidP="002960A5">
      <w:pPr>
        <w:spacing w:line="360" w:lineRule="auto"/>
      </w:pPr>
      <w:proofErr w:type="spellStart"/>
      <w:r w:rsidRPr="006C7422">
        <w:rPr>
          <w:b/>
          <w:bCs/>
        </w:rPr>
        <w:t>Time</w:t>
      </w:r>
      <w:r w:rsidR="00B97054" w:rsidRPr="006C7422">
        <w:rPr>
          <w:b/>
          <w:bCs/>
        </w:rPr>
        <w:t>Point</w:t>
      </w:r>
      <w:proofErr w:type="spellEnd"/>
      <w:r w:rsidR="00B97054" w:rsidRPr="006C7422">
        <w:rPr>
          <w:b/>
          <w:bCs/>
        </w:rPr>
        <w:t xml:space="preserve"> (h)</w:t>
      </w:r>
      <w:r w:rsidR="00B97054">
        <w:t xml:space="preserve">: </w:t>
      </w:r>
      <w:r w:rsidR="00000CE5" w:rsidRPr="00000CE5">
        <w:t>The hour of fermentation when the sample aliquot was collected</w:t>
      </w:r>
      <w:r w:rsidR="00000CE5">
        <w:t>, the unit is hour</w:t>
      </w:r>
      <w:r w:rsidR="00845FD7">
        <w:t xml:space="preserve">(s), there are four timepoints here. </w:t>
      </w:r>
    </w:p>
    <w:p w14:paraId="121CD7CD" w14:textId="07B574AE" w:rsidR="004674EA" w:rsidRPr="004674EA" w:rsidRDefault="004674EA" w:rsidP="004674EA">
      <w:pPr>
        <w:spacing w:line="360" w:lineRule="auto"/>
      </w:pPr>
      <w:proofErr w:type="spellStart"/>
      <w:r w:rsidRPr="004674EA">
        <w:rPr>
          <w:b/>
          <w:bCs/>
        </w:rPr>
        <w:t>Bacterial_Target</w:t>
      </w:r>
      <w:proofErr w:type="spellEnd"/>
      <w:r w:rsidRPr="006C7422">
        <w:rPr>
          <w:b/>
          <w:bCs/>
        </w:rPr>
        <w:t xml:space="preserve"> (Probe</w:t>
      </w:r>
      <w:r w:rsidR="00FF1353" w:rsidRPr="006C7422">
        <w:rPr>
          <w:b/>
          <w:bCs/>
        </w:rPr>
        <w:t>)</w:t>
      </w:r>
      <w:r w:rsidRPr="004674EA">
        <w:t xml:space="preserve">: The specific oligonucleotide probe used for Fluorescent </w:t>
      </w:r>
      <w:r w:rsidRPr="004674EA">
        <w:rPr>
          <w:i/>
          <w:iCs/>
        </w:rPr>
        <w:t>in situ</w:t>
      </w:r>
      <w:r w:rsidRPr="004674EA">
        <w:t xml:space="preserve"> Hybridization (FISH) to target specific bacterial groups. The dataset includes:</w:t>
      </w:r>
    </w:p>
    <w:p w14:paraId="778F7E8E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Eub 338 I-II-III:</w:t>
      </w:r>
      <w:r w:rsidRPr="004674EA">
        <w:t xml:space="preserve"> Total Bacteria</w:t>
      </w:r>
    </w:p>
    <w:p w14:paraId="56F6F86F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lastRenderedPageBreak/>
        <w:t>Bif164:</w:t>
      </w:r>
      <w:r w:rsidRPr="004674EA">
        <w:t xml:space="preserve"> </w:t>
      </w:r>
      <w:r w:rsidRPr="004674EA">
        <w:rPr>
          <w:i/>
          <w:iCs/>
        </w:rPr>
        <w:t>Bifidobacterium</w:t>
      </w:r>
      <w:r w:rsidRPr="004674EA">
        <w:t xml:space="preserve"> spp.</w:t>
      </w:r>
    </w:p>
    <w:p w14:paraId="5BA594E9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Lab158:</w:t>
      </w:r>
      <w:r w:rsidRPr="004674EA">
        <w:t xml:space="preserve"> </w:t>
      </w:r>
      <w:r w:rsidRPr="004674EA">
        <w:rPr>
          <w:i/>
          <w:iCs/>
        </w:rPr>
        <w:t>Lactobacillus/Enterococcus</w:t>
      </w:r>
      <w:r w:rsidRPr="004674EA">
        <w:t xml:space="preserve"> group</w:t>
      </w:r>
    </w:p>
    <w:p w14:paraId="7A4E9FA2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Bac303:</w:t>
      </w:r>
      <w:r w:rsidRPr="004674EA">
        <w:t xml:space="preserve"> </w:t>
      </w:r>
      <w:r w:rsidRPr="004674EA">
        <w:rPr>
          <w:i/>
          <w:iCs/>
        </w:rPr>
        <w:t>Bacteroides/</w:t>
      </w:r>
      <w:proofErr w:type="spellStart"/>
      <w:r w:rsidRPr="004674EA">
        <w:rPr>
          <w:i/>
          <w:iCs/>
        </w:rPr>
        <w:t>Prevotella</w:t>
      </w:r>
      <w:proofErr w:type="spellEnd"/>
      <w:r w:rsidRPr="004674EA">
        <w:t xml:space="preserve"> group</w:t>
      </w:r>
    </w:p>
    <w:p w14:paraId="354F06C2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Erec482:</w:t>
      </w:r>
      <w:r w:rsidRPr="004674EA">
        <w:t xml:space="preserve"> </w:t>
      </w:r>
      <w:r w:rsidRPr="004674EA">
        <w:rPr>
          <w:i/>
          <w:iCs/>
        </w:rPr>
        <w:t xml:space="preserve">Eubacterium </w:t>
      </w:r>
      <w:proofErr w:type="spellStart"/>
      <w:r w:rsidRPr="004674EA">
        <w:rPr>
          <w:i/>
          <w:iCs/>
        </w:rPr>
        <w:t>rectale</w:t>
      </w:r>
      <w:proofErr w:type="spellEnd"/>
      <w:r w:rsidRPr="004674EA">
        <w:rPr>
          <w:i/>
          <w:iCs/>
        </w:rPr>
        <w:t xml:space="preserve">/Clostridium </w:t>
      </w:r>
      <w:proofErr w:type="spellStart"/>
      <w:r w:rsidRPr="004674EA">
        <w:rPr>
          <w:i/>
          <w:iCs/>
        </w:rPr>
        <w:t>coccoides</w:t>
      </w:r>
      <w:proofErr w:type="spellEnd"/>
      <w:r w:rsidRPr="004674EA">
        <w:t xml:space="preserve"> group</w:t>
      </w:r>
    </w:p>
    <w:p w14:paraId="33C31286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Rrec584:</w:t>
      </w:r>
      <w:r w:rsidRPr="004674EA">
        <w:t xml:space="preserve"> </w:t>
      </w:r>
      <w:r w:rsidRPr="004674EA">
        <w:rPr>
          <w:i/>
          <w:iCs/>
        </w:rPr>
        <w:t xml:space="preserve">Roseburia/Eubacterium </w:t>
      </w:r>
      <w:proofErr w:type="spellStart"/>
      <w:r w:rsidRPr="004674EA">
        <w:rPr>
          <w:i/>
          <w:iCs/>
        </w:rPr>
        <w:t>rectale</w:t>
      </w:r>
      <w:proofErr w:type="spellEnd"/>
      <w:r w:rsidRPr="004674EA">
        <w:t xml:space="preserve"> group</w:t>
      </w:r>
    </w:p>
    <w:p w14:paraId="5DAA748C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Ato291:</w:t>
      </w:r>
      <w:r w:rsidRPr="004674EA">
        <w:t xml:space="preserve"> </w:t>
      </w:r>
      <w:r w:rsidRPr="004674EA">
        <w:rPr>
          <w:i/>
          <w:iCs/>
        </w:rPr>
        <w:t>Atopobium</w:t>
      </w:r>
      <w:r w:rsidRPr="004674EA">
        <w:t xml:space="preserve"> cluster</w:t>
      </w:r>
    </w:p>
    <w:p w14:paraId="6F45FED7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Prop853:</w:t>
      </w:r>
      <w:r w:rsidRPr="004674EA">
        <w:t xml:space="preserve"> </w:t>
      </w:r>
      <w:r w:rsidRPr="004674EA">
        <w:rPr>
          <w:i/>
          <w:iCs/>
        </w:rPr>
        <w:t>Propionibacterium</w:t>
      </w:r>
      <w:r w:rsidRPr="004674EA">
        <w:t xml:space="preserve"> group</w:t>
      </w:r>
    </w:p>
    <w:p w14:paraId="6B4E7218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Fprau655:</w:t>
      </w:r>
      <w:r w:rsidRPr="004674EA">
        <w:t xml:space="preserve"> </w:t>
      </w:r>
      <w:r w:rsidRPr="004674EA">
        <w:rPr>
          <w:i/>
          <w:iCs/>
        </w:rPr>
        <w:t xml:space="preserve">Faecalibacterium </w:t>
      </w:r>
      <w:proofErr w:type="spellStart"/>
      <w:r w:rsidRPr="004674EA">
        <w:rPr>
          <w:i/>
          <w:iCs/>
        </w:rPr>
        <w:t>prausnitzii</w:t>
      </w:r>
      <w:proofErr w:type="spellEnd"/>
    </w:p>
    <w:p w14:paraId="3B7BE374" w14:textId="77777777" w:rsidR="004674EA" w:rsidRP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DSV687:</w:t>
      </w:r>
      <w:r w:rsidRPr="004674EA">
        <w:t xml:space="preserve"> </w:t>
      </w:r>
      <w:r w:rsidRPr="004674EA">
        <w:rPr>
          <w:i/>
          <w:iCs/>
        </w:rPr>
        <w:t>Desulfovibrio</w:t>
      </w:r>
      <w:r w:rsidRPr="004674EA">
        <w:t xml:space="preserve"> spp.</w:t>
      </w:r>
    </w:p>
    <w:p w14:paraId="1AD19FCD" w14:textId="77777777" w:rsidR="004674EA" w:rsidRDefault="004674EA" w:rsidP="004674EA">
      <w:pPr>
        <w:numPr>
          <w:ilvl w:val="0"/>
          <w:numId w:val="13"/>
        </w:numPr>
        <w:spacing w:line="360" w:lineRule="auto"/>
      </w:pPr>
      <w:r w:rsidRPr="004674EA">
        <w:rPr>
          <w:b/>
          <w:bCs/>
        </w:rPr>
        <w:t>Chis150:</w:t>
      </w:r>
      <w:r w:rsidRPr="004674EA">
        <w:t xml:space="preserve"> </w:t>
      </w:r>
      <w:r w:rsidRPr="004674EA">
        <w:rPr>
          <w:i/>
          <w:iCs/>
        </w:rPr>
        <w:t>Clostridium histolyticum</w:t>
      </w:r>
      <w:r w:rsidRPr="004674EA">
        <w:t xml:space="preserve"> group</w:t>
      </w:r>
    </w:p>
    <w:p w14:paraId="58722A10" w14:textId="77777777" w:rsidR="00BE5C35" w:rsidRPr="00BE5C35" w:rsidRDefault="00BE5C35" w:rsidP="00BE5C35">
      <w:pPr>
        <w:spacing w:line="360" w:lineRule="auto"/>
        <w:rPr>
          <w:i/>
          <w:iCs/>
        </w:rPr>
      </w:pPr>
      <w:r w:rsidRPr="00BE5C35">
        <w:rPr>
          <w:i/>
          <w:iCs/>
        </w:rPr>
        <w:t xml:space="preserve">This is simplified; more probe information can be found in Table 1. </w:t>
      </w:r>
    </w:p>
    <w:p w14:paraId="058D6F16" w14:textId="5B3C42AF" w:rsidR="00A31C33" w:rsidRDefault="00282A55" w:rsidP="00A31C33">
      <w:pPr>
        <w:spacing w:line="360" w:lineRule="auto"/>
      </w:pPr>
      <w:r w:rsidRPr="006C7422">
        <w:rPr>
          <w:b/>
          <w:bCs/>
        </w:rPr>
        <w:t>Count (log10 cells/ml)</w:t>
      </w:r>
      <w:r w:rsidR="007F2459" w:rsidRPr="007F2459">
        <w:t>: Bacterial enumeration counts expressed as log</w:t>
      </w:r>
      <w:r w:rsidR="00F20B99" w:rsidRPr="00F20B99">
        <w:rPr>
          <w:vertAlign w:val="subscript"/>
        </w:rPr>
        <w:t>10</w:t>
      </w:r>
      <w:r w:rsidR="007F2459" w:rsidRPr="007F2459">
        <w:t xml:space="preserve"> cells ml</w:t>
      </w:r>
      <w:r w:rsidR="007F2459" w:rsidRPr="007F2459">
        <w:rPr>
          <w:rFonts w:ascii="Cambria Math" w:hAnsi="Cambria Math" w:cs="Cambria Math"/>
        </w:rPr>
        <w:t>⁻</w:t>
      </w:r>
      <w:r w:rsidR="007F2459" w:rsidRPr="007F2459">
        <w:t>¹.Limit of Detection Note: Counts falling below the assay limit of detection (10</w:t>
      </w:r>
      <w:r w:rsidR="000E54CE" w:rsidRPr="000E54CE">
        <w:rPr>
          <w:vertAlign w:val="superscript"/>
        </w:rPr>
        <w:t>3</w:t>
      </w:r>
      <w:r w:rsidR="000E54CE">
        <w:t xml:space="preserve"> </w:t>
      </w:r>
      <w:r w:rsidR="007F2459" w:rsidRPr="007F2459">
        <w:t>cells ml</w:t>
      </w:r>
      <w:r w:rsidR="007F2459" w:rsidRPr="007F2459">
        <w:rPr>
          <w:rFonts w:ascii="Cambria Math" w:hAnsi="Cambria Math" w:cs="Cambria Math"/>
        </w:rPr>
        <w:t>⁻</w:t>
      </w:r>
      <w:r w:rsidR="007F2459" w:rsidRPr="007F2459">
        <w:t>¹) were assigned a default value of 3.0 for data reporting and statistical purposes.</w:t>
      </w:r>
    </w:p>
    <w:p w14:paraId="67B0C67B" w14:textId="77777777" w:rsidR="0079564B" w:rsidRPr="004674EA" w:rsidRDefault="0079564B" w:rsidP="00A31C33">
      <w:pPr>
        <w:spacing w:line="360" w:lineRule="auto"/>
      </w:pPr>
    </w:p>
    <w:p w14:paraId="4CCF0942" w14:textId="6CEC57EB" w:rsidR="00BE5C35" w:rsidRPr="00F203C3" w:rsidRDefault="002960A5" w:rsidP="002960A5">
      <w:pPr>
        <w:spacing w:line="360" w:lineRule="auto"/>
      </w:pPr>
      <w:r w:rsidRPr="00F203C3">
        <w:t xml:space="preserve">2. File Name: </w:t>
      </w:r>
      <w:r w:rsidR="0079628E">
        <w:t>InVitro</w:t>
      </w:r>
      <w:r w:rsidR="004D00B2">
        <w:t>_</w:t>
      </w:r>
      <w:r w:rsidR="000E54CE">
        <w:t>SCFA</w:t>
      </w:r>
      <w:r w:rsidRPr="00F203C3">
        <w:t>_Data.xlsx</w:t>
      </w:r>
    </w:p>
    <w:p w14:paraId="2B719CBC" w14:textId="77777777" w:rsidR="00274261" w:rsidRDefault="002960A5" w:rsidP="002960A5">
      <w:pPr>
        <w:spacing w:line="360" w:lineRule="auto"/>
      </w:pPr>
      <w:r w:rsidRPr="00F203C3">
        <w:rPr>
          <w:b/>
          <w:bCs/>
        </w:rPr>
        <w:t>Description:</w:t>
      </w:r>
      <w:r w:rsidRPr="00F203C3">
        <w:t xml:space="preserve"> </w:t>
      </w:r>
      <w:r w:rsidR="00274261" w:rsidRPr="00274261">
        <w:t xml:space="preserve">Dataset containing raw quantifications of organic acid metabolites (acetate, propionate, butyrate, valerate, iso-butyrate, iso-valerate, lactate, and total organic acids) generated during an </w:t>
      </w:r>
      <w:r w:rsidR="00274261" w:rsidRPr="00274261">
        <w:rPr>
          <w:i/>
          <w:iCs/>
        </w:rPr>
        <w:t>in vitro</w:t>
      </w:r>
      <w:r w:rsidR="00274261" w:rsidRPr="00274261">
        <w:t xml:space="preserve"> human faecal fermentation of cellobiose and oligofructose. Concentrations are reported in </w:t>
      </w:r>
      <w:proofErr w:type="spellStart"/>
      <w:r w:rsidR="00274261" w:rsidRPr="00274261">
        <w:t>mM.</w:t>
      </w:r>
      <w:proofErr w:type="spellEnd"/>
      <w:r w:rsidR="00274261" w:rsidRPr="00274261">
        <w:t xml:space="preserve"> </w:t>
      </w:r>
    </w:p>
    <w:p w14:paraId="1A67A157" w14:textId="17E08D81" w:rsidR="000732BD" w:rsidRDefault="002960A5" w:rsidP="002960A5">
      <w:pPr>
        <w:pStyle w:val="ListParagraph"/>
        <w:numPr>
          <w:ilvl w:val="0"/>
          <w:numId w:val="5"/>
        </w:numPr>
        <w:spacing w:line="360" w:lineRule="auto"/>
      </w:pPr>
      <w:r w:rsidRPr="000732BD">
        <w:rPr>
          <w:b/>
          <w:bCs/>
        </w:rPr>
        <w:t>Tab 1(</w:t>
      </w:r>
      <w:proofErr w:type="spellStart"/>
      <w:r w:rsidR="000D22DC" w:rsidRPr="000D22DC">
        <w:rPr>
          <w:b/>
          <w:bCs/>
        </w:rPr>
        <w:t>MetaboliteData</w:t>
      </w:r>
      <w:proofErr w:type="spellEnd"/>
      <w:r w:rsidRPr="000732BD">
        <w:rPr>
          <w:b/>
          <w:bCs/>
        </w:rPr>
        <w:t>)</w:t>
      </w:r>
      <w:r w:rsidRPr="00F203C3">
        <w:t xml:space="preserve">: </w:t>
      </w:r>
    </w:p>
    <w:p w14:paraId="398CBA43" w14:textId="2B7DF689" w:rsidR="002960A5" w:rsidRPr="00F203C3" w:rsidRDefault="002960A5" w:rsidP="000732BD">
      <w:pPr>
        <w:spacing w:line="360" w:lineRule="auto"/>
      </w:pPr>
      <w:r w:rsidRPr="00F203C3">
        <w:t>Variables:</w:t>
      </w:r>
    </w:p>
    <w:p w14:paraId="6603327B" w14:textId="77777777" w:rsidR="000E54CE" w:rsidRPr="00F203C3" w:rsidRDefault="000E54CE" w:rsidP="000E54CE">
      <w:pPr>
        <w:spacing w:line="360" w:lineRule="auto"/>
      </w:pPr>
      <w:r w:rsidRPr="00BF2825">
        <w:rPr>
          <w:b/>
          <w:bCs/>
        </w:rPr>
        <w:t>Donor</w:t>
      </w:r>
      <w:r w:rsidRPr="00F203C3">
        <w:t>: Anonymized participant identifier</w:t>
      </w:r>
      <w:r>
        <w:t>, D1, D2 and D3</w:t>
      </w:r>
    </w:p>
    <w:p w14:paraId="23B48DF3" w14:textId="77777777" w:rsidR="000E54CE" w:rsidRDefault="000E54CE" w:rsidP="000E54CE">
      <w:pPr>
        <w:spacing w:line="360" w:lineRule="auto"/>
      </w:pPr>
      <w:r w:rsidRPr="00BF2825">
        <w:rPr>
          <w:b/>
          <w:bCs/>
        </w:rPr>
        <w:t>Treatment</w:t>
      </w:r>
      <w:r>
        <w:t>: Negative (No Carbohydrate added), OF P95(FOS; Oligofructose P95) and Cellobiose</w:t>
      </w:r>
    </w:p>
    <w:p w14:paraId="60B66104" w14:textId="77777777" w:rsidR="000E54CE" w:rsidRDefault="000E54CE" w:rsidP="000E54CE">
      <w:pPr>
        <w:spacing w:line="360" w:lineRule="auto"/>
      </w:pPr>
      <w:proofErr w:type="spellStart"/>
      <w:r w:rsidRPr="00BF2825">
        <w:rPr>
          <w:b/>
          <w:bCs/>
        </w:rPr>
        <w:lastRenderedPageBreak/>
        <w:t>TimePoint</w:t>
      </w:r>
      <w:proofErr w:type="spellEnd"/>
      <w:r w:rsidRPr="00BF2825">
        <w:rPr>
          <w:b/>
          <w:bCs/>
        </w:rPr>
        <w:t xml:space="preserve"> (h)</w:t>
      </w:r>
      <w:r>
        <w:t xml:space="preserve">: </w:t>
      </w:r>
      <w:r w:rsidRPr="00000CE5">
        <w:t>The hour of fermentation when the sample aliquot was collected</w:t>
      </w:r>
      <w:r>
        <w:t xml:space="preserve">, the unit is hour(s), there are four timepoints here. </w:t>
      </w:r>
    </w:p>
    <w:p w14:paraId="0DF78514" w14:textId="7C710B81" w:rsidR="00BF2825" w:rsidRPr="00BF2825" w:rsidRDefault="00BF2825" w:rsidP="00BF2825">
      <w:pPr>
        <w:spacing w:line="360" w:lineRule="auto"/>
      </w:pPr>
      <w:proofErr w:type="spellStart"/>
      <w:r w:rsidRPr="00BF2825">
        <w:rPr>
          <w:b/>
          <w:bCs/>
        </w:rPr>
        <w:t>SCFA_Type</w:t>
      </w:r>
      <w:proofErr w:type="spellEnd"/>
      <w:r w:rsidRPr="00BF2825">
        <w:rPr>
          <w:b/>
          <w:bCs/>
        </w:rPr>
        <w:t>:</w:t>
      </w:r>
      <w:r w:rsidRPr="00BF2825">
        <w:t xml:space="preserve"> The specific short-chain fatty acid (or branched-chain fatty acid) quantified via High-Performance Liquid Chromatography (HPLC). The dataset includes:</w:t>
      </w:r>
    </w:p>
    <w:p w14:paraId="6BB90DEE" w14:textId="77777777" w:rsidR="00BF2825" w:rsidRPr="00BF2825" w:rsidRDefault="00BF2825" w:rsidP="00BF2825">
      <w:pPr>
        <w:numPr>
          <w:ilvl w:val="0"/>
          <w:numId w:val="14"/>
        </w:numPr>
        <w:spacing w:line="360" w:lineRule="auto"/>
      </w:pPr>
      <w:r w:rsidRPr="00BF2825">
        <w:rPr>
          <w:b/>
          <w:bCs/>
        </w:rPr>
        <w:t>Acetate</w:t>
      </w:r>
    </w:p>
    <w:p w14:paraId="3558501C" w14:textId="77777777" w:rsidR="00BF2825" w:rsidRPr="00BF2825" w:rsidRDefault="00BF2825" w:rsidP="00BF2825">
      <w:pPr>
        <w:numPr>
          <w:ilvl w:val="0"/>
          <w:numId w:val="14"/>
        </w:numPr>
        <w:spacing w:line="360" w:lineRule="auto"/>
      </w:pPr>
      <w:r w:rsidRPr="00BF2825">
        <w:rPr>
          <w:b/>
          <w:bCs/>
        </w:rPr>
        <w:t>Propionate</w:t>
      </w:r>
    </w:p>
    <w:p w14:paraId="18060430" w14:textId="77777777" w:rsidR="00BF2825" w:rsidRPr="00BF2825" w:rsidRDefault="00BF2825" w:rsidP="00BF2825">
      <w:pPr>
        <w:numPr>
          <w:ilvl w:val="0"/>
          <w:numId w:val="14"/>
        </w:numPr>
        <w:spacing w:line="360" w:lineRule="auto"/>
      </w:pPr>
      <w:r w:rsidRPr="00BF2825">
        <w:rPr>
          <w:b/>
          <w:bCs/>
        </w:rPr>
        <w:t>Butyrate</w:t>
      </w:r>
    </w:p>
    <w:p w14:paraId="71AAC491" w14:textId="38792CFC" w:rsidR="00BF2825" w:rsidRPr="00BF2825" w:rsidRDefault="00BF2825" w:rsidP="00BF2825">
      <w:pPr>
        <w:numPr>
          <w:ilvl w:val="0"/>
          <w:numId w:val="14"/>
        </w:numPr>
        <w:spacing w:line="360" w:lineRule="auto"/>
      </w:pPr>
      <w:r>
        <w:rPr>
          <w:b/>
          <w:bCs/>
        </w:rPr>
        <w:t>Valerate</w:t>
      </w:r>
    </w:p>
    <w:p w14:paraId="1F6F4805" w14:textId="7E0287A7" w:rsidR="00BF2825" w:rsidRPr="00430059" w:rsidRDefault="00BF2825" w:rsidP="00BF2825">
      <w:pPr>
        <w:numPr>
          <w:ilvl w:val="0"/>
          <w:numId w:val="14"/>
        </w:numPr>
        <w:spacing w:line="360" w:lineRule="auto"/>
        <w:rPr>
          <w:b/>
          <w:bCs/>
        </w:rPr>
      </w:pPr>
      <w:r w:rsidRPr="00430059">
        <w:rPr>
          <w:b/>
          <w:bCs/>
        </w:rPr>
        <w:t>Iso-Valerate</w:t>
      </w:r>
    </w:p>
    <w:p w14:paraId="2269F6B1" w14:textId="24A3AA21" w:rsidR="00BF2825" w:rsidRPr="00430059" w:rsidRDefault="00BF2825" w:rsidP="00BF2825">
      <w:pPr>
        <w:numPr>
          <w:ilvl w:val="0"/>
          <w:numId w:val="14"/>
        </w:numPr>
        <w:spacing w:line="360" w:lineRule="auto"/>
        <w:rPr>
          <w:b/>
          <w:bCs/>
        </w:rPr>
      </w:pPr>
      <w:proofErr w:type="spellStart"/>
      <w:r w:rsidRPr="00430059">
        <w:rPr>
          <w:b/>
          <w:bCs/>
        </w:rPr>
        <w:t>Iso_Bu</w:t>
      </w:r>
      <w:r w:rsidR="00430059" w:rsidRPr="00430059">
        <w:rPr>
          <w:b/>
          <w:bCs/>
        </w:rPr>
        <w:t>tyrate</w:t>
      </w:r>
      <w:proofErr w:type="spellEnd"/>
    </w:p>
    <w:p w14:paraId="024980E4" w14:textId="12790346" w:rsidR="00430059" w:rsidRPr="00BF2825" w:rsidRDefault="00430059" w:rsidP="00BF2825">
      <w:pPr>
        <w:numPr>
          <w:ilvl w:val="0"/>
          <w:numId w:val="14"/>
        </w:numPr>
        <w:spacing w:line="360" w:lineRule="auto"/>
        <w:rPr>
          <w:b/>
          <w:bCs/>
        </w:rPr>
      </w:pPr>
      <w:r w:rsidRPr="00430059">
        <w:rPr>
          <w:b/>
          <w:bCs/>
        </w:rPr>
        <w:t>Lactate</w:t>
      </w:r>
    </w:p>
    <w:p w14:paraId="3BAC8681" w14:textId="650FD96D" w:rsidR="00BF2825" w:rsidRPr="00430059" w:rsidRDefault="00BF2825" w:rsidP="00BF2825">
      <w:pPr>
        <w:numPr>
          <w:ilvl w:val="0"/>
          <w:numId w:val="14"/>
        </w:numPr>
        <w:spacing w:line="360" w:lineRule="auto"/>
      </w:pPr>
      <w:proofErr w:type="spellStart"/>
      <w:r w:rsidRPr="00BF2825">
        <w:rPr>
          <w:b/>
          <w:bCs/>
        </w:rPr>
        <w:t>Total_SCFA</w:t>
      </w:r>
      <w:proofErr w:type="spellEnd"/>
      <w:r w:rsidRPr="00BF2825">
        <w:t xml:space="preserve"> </w:t>
      </w:r>
      <w:r w:rsidRPr="00BF2825">
        <w:rPr>
          <w:i/>
          <w:iCs/>
        </w:rPr>
        <w:t>(Sum of</w:t>
      </w:r>
      <w:r>
        <w:rPr>
          <w:i/>
          <w:iCs/>
        </w:rPr>
        <w:t xml:space="preserve"> all</w:t>
      </w:r>
      <w:r w:rsidRPr="00BF2825">
        <w:rPr>
          <w:i/>
          <w:iCs/>
        </w:rPr>
        <w:t xml:space="preserve"> measured acids)</w:t>
      </w:r>
    </w:p>
    <w:p w14:paraId="4ECD3510" w14:textId="5481E110" w:rsidR="002960A5" w:rsidRDefault="00BF2825" w:rsidP="002960A5">
      <w:pPr>
        <w:spacing w:line="360" w:lineRule="auto"/>
      </w:pPr>
      <w:r w:rsidRPr="00BF2825">
        <w:rPr>
          <w:b/>
          <w:bCs/>
        </w:rPr>
        <w:t>Concentration_mM:</w:t>
      </w:r>
      <w:r w:rsidRPr="00BF2825">
        <w:t xml:space="preserve"> The measured concentration of the specific SCFA expressed in millimolar (mM).</w:t>
      </w:r>
    </w:p>
    <w:p w14:paraId="500659FE" w14:textId="77777777" w:rsidR="00430059" w:rsidRPr="00F203C3" w:rsidRDefault="00430059" w:rsidP="002960A5">
      <w:pPr>
        <w:spacing w:line="360" w:lineRule="auto"/>
      </w:pPr>
    </w:p>
    <w:p w14:paraId="31798F1D" w14:textId="77777777" w:rsidR="002960A5" w:rsidRPr="00F203C3" w:rsidRDefault="002960A5" w:rsidP="002960A5">
      <w:pPr>
        <w:spacing w:line="360" w:lineRule="auto"/>
      </w:pPr>
      <w:r w:rsidRPr="00F203C3">
        <w:t>5. METHODS</w:t>
      </w:r>
    </w:p>
    <w:p w14:paraId="1F741F62" w14:textId="77777777" w:rsidR="002960A5" w:rsidRPr="00F203C3" w:rsidRDefault="002960A5" w:rsidP="002960A5">
      <w:pPr>
        <w:spacing w:line="360" w:lineRule="auto"/>
      </w:pPr>
      <w:r w:rsidRPr="00F203C3">
        <w:t>-----------</w:t>
      </w:r>
    </w:p>
    <w:p w14:paraId="143CAE00" w14:textId="45FC7044" w:rsidR="002960A5" w:rsidRPr="00F203C3" w:rsidRDefault="002960A5" w:rsidP="002960A5">
      <w:pPr>
        <w:spacing w:line="360" w:lineRule="auto"/>
      </w:pPr>
      <w:r w:rsidRPr="00F203C3">
        <w:rPr>
          <w:b/>
          <w:bCs/>
        </w:rPr>
        <w:t>Experimental Design</w:t>
      </w:r>
      <w:r w:rsidRPr="00F203C3">
        <w:t xml:space="preserve">: </w:t>
      </w:r>
      <w:r w:rsidR="009E0328" w:rsidRPr="009E0328">
        <w:t>This study utili</w:t>
      </w:r>
      <w:r w:rsidR="009E0328">
        <w:t>s</w:t>
      </w:r>
      <w:r w:rsidR="009E0328" w:rsidRPr="009E0328">
        <w:t>ed a pH-controlled, stirred anaerobic batch culture fermentation model inoculated with 10% (w/v) faecal slurries from three healthy human donors (n=3) to evaluate the prebiotic potential of 1% (w/v) commercial cellobiose compared to a positive control (1% w/v oligofructose P95) and a negative control with no added carbohydrates. The fermentation vessels were continuously sparged with oxygen-free nitrogen, maintained at 37°C, and pH-controlled between 6.7 and 6.9.</w:t>
      </w:r>
      <w:r w:rsidR="009E0328">
        <w:t xml:space="preserve"> </w:t>
      </w:r>
      <w:r w:rsidR="009E0328" w:rsidRPr="009E0328">
        <w:t>Sample aliquots were withdrawn at 0, 8, 24, and 48 hours for microbial and metabolic analysis.</w:t>
      </w:r>
      <w:r w:rsidR="009E0328">
        <w:t xml:space="preserve"> </w:t>
      </w:r>
    </w:p>
    <w:p w14:paraId="539B8BED" w14:textId="77777777" w:rsidR="009E0328" w:rsidRDefault="009E0328" w:rsidP="009E0328">
      <w:pPr>
        <w:spacing w:line="360" w:lineRule="auto"/>
      </w:pPr>
      <w:r w:rsidRPr="009E0328">
        <w:lastRenderedPageBreak/>
        <w:t xml:space="preserve">Bacterial populations were enumerated using fluorescence </w:t>
      </w:r>
      <w:r w:rsidRPr="009E0328">
        <w:rPr>
          <w:i/>
          <w:iCs/>
        </w:rPr>
        <w:t>in situ</w:t>
      </w:r>
      <w:r w:rsidRPr="009E0328">
        <w:t xml:space="preserve"> hybridization coupled with flow cytometry (FISH-FLOW). Concurrently, organic acid concentrations (including acetate, propionate, butyrate, valerate, iso-butyrate, iso-valerate, and lactate) were extracted, derivati</w:t>
      </w:r>
      <w:r>
        <w:t>s</w:t>
      </w:r>
      <w:r w:rsidRPr="009E0328">
        <w:t xml:space="preserve">ed, and quantified via gas chromatography-flame ionization detection (GC-FID). </w:t>
      </w:r>
    </w:p>
    <w:p w14:paraId="4215C8D9" w14:textId="77777777" w:rsidR="009E0328" w:rsidRPr="00F203C3" w:rsidRDefault="009E0328" w:rsidP="009E0328">
      <w:pPr>
        <w:spacing w:line="360" w:lineRule="auto"/>
      </w:pPr>
    </w:p>
    <w:p w14:paraId="58C7131C" w14:textId="77777777" w:rsidR="009E0328" w:rsidRPr="00F1058B" w:rsidRDefault="009E0328" w:rsidP="009E0328">
      <w:pPr>
        <w:spacing w:line="360" w:lineRule="auto"/>
      </w:pPr>
      <w:r w:rsidRPr="00F1058B">
        <w:rPr>
          <w:b/>
          <w:bCs/>
        </w:rPr>
        <w:t>Statistical Analysis:</w:t>
      </w:r>
    </w:p>
    <w:p w14:paraId="0CA73B42" w14:textId="6DEE9FF8" w:rsidR="009E0328" w:rsidRDefault="009E0328" w:rsidP="009E0328">
      <w:pPr>
        <w:spacing w:line="360" w:lineRule="auto"/>
      </w:pPr>
      <w:r w:rsidRPr="009E0328">
        <w:t>All statistical evaluations of bacteriology and organic acid production over time were conducted in SPSS version 27 using a general linear model (GLM) for repeated measures, with Bonferroni-adjusted post hoc pairwise comparisons applied to determine significant differences (</w:t>
      </w:r>
      <w:r w:rsidRPr="009E0328">
        <w:rPr>
          <w:i/>
          <w:iCs/>
        </w:rPr>
        <w:t>P</w:t>
      </w:r>
      <w:r w:rsidRPr="009E0328">
        <w:t xml:space="preserve"> </w:t>
      </w:r>
      <m:oMath>
        <m:r>
          <w:rPr>
            <w:rFonts w:ascii="Cambria Math" w:hAnsi="Cambria Math"/>
          </w:rPr>
          <m:t>≤</m:t>
        </m:r>
      </m:oMath>
      <w:r>
        <w:rPr>
          <w:rFonts w:eastAsiaTheme="minorEastAsia"/>
        </w:rPr>
        <w:t xml:space="preserve"> </w:t>
      </w:r>
      <w:r w:rsidRPr="009E0328">
        <w:t>0.05) between interventions across the sampled time points</w:t>
      </w:r>
      <w:r>
        <w:t xml:space="preserve">. </w:t>
      </w:r>
    </w:p>
    <w:p w14:paraId="0C305748" w14:textId="77777777" w:rsidR="0060744F" w:rsidRDefault="0060744F"/>
    <w:p w14:paraId="4DEBA5CF" w14:textId="541B69AF" w:rsidR="00237111" w:rsidRPr="009D1DC6" w:rsidRDefault="00237111">
      <w:r w:rsidRPr="009D1DC6">
        <w:t>Reference</w:t>
      </w:r>
    </w:p>
    <w:p w14:paraId="0E132F63" w14:textId="77777777" w:rsidR="00AA53C4" w:rsidRPr="009D1DC6" w:rsidRDefault="00AA53C4" w:rsidP="00AA53C4">
      <w:pPr>
        <w:spacing w:line="480" w:lineRule="auto"/>
        <w:ind w:left="720" w:hanging="720"/>
        <w:rPr>
          <w:rFonts w:eastAsia="Times New Roman" w:cs="Calibri"/>
          <w:color w:val="467886"/>
          <w:szCs w:val="22"/>
        </w:rPr>
      </w:pPr>
      <w:r w:rsidRPr="009D1DC6">
        <w:rPr>
          <w:rFonts w:eastAsia="Times New Roman" w:cs="Calibri"/>
          <w:szCs w:val="22"/>
        </w:rPr>
        <w:t xml:space="preserve">Amann, R. I., Binder, B. J., Olson, R. J., Chisholm, S. W., Devereux, R., &amp; Stahl, D. A. (1990). Combination of 16S rRNA-targeted oligonucleotide probes with flow cytometry for </w:t>
      </w:r>
      <w:proofErr w:type="spellStart"/>
      <w:r w:rsidRPr="009D1DC6">
        <w:rPr>
          <w:rFonts w:eastAsia="Times New Roman" w:cs="Calibri"/>
          <w:szCs w:val="22"/>
        </w:rPr>
        <w:t>analyzing</w:t>
      </w:r>
      <w:proofErr w:type="spellEnd"/>
      <w:r w:rsidRPr="009D1DC6">
        <w:rPr>
          <w:rFonts w:eastAsia="Times New Roman" w:cs="Calibri"/>
          <w:szCs w:val="22"/>
        </w:rPr>
        <w:t xml:space="preserve"> mixed microbial populations. </w:t>
      </w:r>
      <w:r w:rsidRPr="009D1DC6">
        <w:rPr>
          <w:rFonts w:eastAsia="Times New Roman" w:cs="Calibri"/>
          <w:i/>
          <w:iCs/>
          <w:szCs w:val="22"/>
        </w:rPr>
        <w:t>Applied and Environmental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56</w:t>
      </w:r>
      <w:r w:rsidRPr="009D1DC6">
        <w:rPr>
          <w:rFonts w:eastAsia="Times New Roman" w:cs="Calibri"/>
          <w:szCs w:val="22"/>
        </w:rPr>
        <w:t xml:space="preserve">(6), 1919-1925. </w:t>
      </w:r>
      <w:hyperlink r:id="rId7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https://doi.org/10.1128/aem.56.6.1919-1925.1990</w:t>
        </w:r>
      </w:hyperlink>
    </w:p>
    <w:p w14:paraId="3236893B" w14:textId="77777777" w:rsidR="00AA53C4" w:rsidRPr="009D1DC6" w:rsidRDefault="00AA53C4" w:rsidP="00AA53C4">
      <w:pPr>
        <w:spacing w:line="480" w:lineRule="auto"/>
        <w:ind w:left="720" w:hanging="720"/>
        <w:rPr>
          <w:rFonts w:eastAsia="Times New Roman" w:cs="Calibri"/>
          <w:color w:val="467886"/>
          <w:szCs w:val="22"/>
        </w:rPr>
      </w:pPr>
      <w:proofErr w:type="spellStart"/>
      <w:r w:rsidRPr="009D1DC6">
        <w:rPr>
          <w:rFonts w:eastAsia="Times New Roman" w:cs="Calibri"/>
          <w:szCs w:val="22"/>
        </w:rPr>
        <w:t>Daims</w:t>
      </w:r>
      <w:proofErr w:type="spellEnd"/>
      <w:r w:rsidRPr="009D1DC6">
        <w:rPr>
          <w:rFonts w:eastAsia="Times New Roman" w:cs="Calibri"/>
          <w:szCs w:val="22"/>
        </w:rPr>
        <w:t xml:space="preserve">, H., Brühl, A., Amann, R., Schleifer, K. H., &amp; Wagner, M. (1999). The domain-specific probe EUB338 is insufficient for the detection of all bacteria: development and evaluation of a more comprehensive probe set. </w:t>
      </w:r>
      <w:r w:rsidRPr="009D1DC6">
        <w:rPr>
          <w:rFonts w:eastAsia="Times New Roman" w:cs="Calibri"/>
          <w:i/>
          <w:iCs/>
          <w:szCs w:val="22"/>
        </w:rPr>
        <w:t>Systematic and Applied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22</w:t>
      </w:r>
      <w:r w:rsidRPr="009D1DC6">
        <w:rPr>
          <w:rFonts w:eastAsia="Times New Roman" w:cs="Calibri"/>
          <w:szCs w:val="22"/>
        </w:rPr>
        <w:t xml:space="preserve">(3), 434-444. </w:t>
      </w:r>
      <w:hyperlink r:id="rId8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https://doi.org/10.1016/s0723-2020(99)80053-8</w:t>
        </w:r>
      </w:hyperlink>
    </w:p>
    <w:p w14:paraId="713B78BE" w14:textId="77777777" w:rsidR="00AA53C4" w:rsidRPr="009D1DC6" w:rsidRDefault="00AA53C4" w:rsidP="00AA53C4">
      <w:pPr>
        <w:spacing w:line="480" w:lineRule="auto"/>
        <w:ind w:left="720" w:hanging="720"/>
        <w:rPr>
          <w:rFonts w:eastAsia="Times New Roman" w:cs="Calibri"/>
          <w:color w:val="467886"/>
          <w:szCs w:val="22"/>
        </w:rPr>
      </w:pPr>
      <w:r w:rsidRPr="009D1DC6">
        <w:rPr>
          <w:rFonts w:eastAsia="Times New Roman" w:cs="Calibri"/>
          <w:szCs w:val="22"/>
        </w:rPr>
        <w:lastRenderedPageBreak/>
        <w:t xml:space="preserve">Devereux, R., Kane, M. D., Winfrey, J., &amp; Stahl, D. A. (1992). Genus- and group-specific hybridization probes for determinative and environmental studies of </w:t>
      </w:r>
      <w:proofErr w:type="spellStart"/>
      <w:r w:rsidRPr="009D1DC6">
        <w:rPr>
          <w:rFonts w:eastAsia="Times New Roman" w:cs="Calibri"/>
          <w:szCs w:val="22"/>
        </w:rPr>
        <w:t>sulfate</w:t>
      </w:r>
      <w:proofErr w:type="spellEnd"/>
      <w:r w:rsidRPr="009D1DC6">
        <w:rPr>
          <w:rFonts w:eastAsia="Times New Roman" w:cs="Calibri"/>
          <w:szCs w:val="22"/>
        </w:rPr>
        <w:t xml:space="preserve">-reducing bacteria. </w:t>
      </w:r>
      <w:r w:rsidRPr="009D1DC6">
        <w:rPr>
          <w:rFonts w:eastAsia="Times New Roman" w:cs="Calibri"/>
          <w:i/>
          <w:iCs/>
          <w:szCs w:val="22"/>
        </w:rPr>
        <w:t>Systematic and Applied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15</w:t>
      </w:r>
      <w:r w:rsidRPr="009D1DC6">
        <w:rPr>
          <w:rFonts w:eastAsia="Times New Roman" w:cs="Calibri"/>
          <w:szCs w:val="22"/>
        </w:rPr>
        <w:t xml:space="preserve">(4), 601-609. </w:t>
      </w:r>
      <w:hyperlink r:id="rId9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https://doi.org/10.1016/S0723-2020(11)80122-0</w:t>
        </w:r>
      </w:hyperlink>
    </w:p>
    <w:p w14:paraId="61E0F978" w14:textId="77777777" w:rsidR="00901B87" w:rsidRPr="009D1DC6" w:rsidRDefault="00901B87" w:rsidP="00901B87">
      <w:pPr>
        <w:spacing w:line="480" w:lineRule="auto"/>
        <w:ind w:left="720" w:hanging="720"/>
        <w:rPr>
          <w:rFonts w:eastAsia="Times New Roman" w:cs="Calibri"/>
          <w:szCs w:val="22"/>
        </w:rPr>
      </w:pPr>
      <w:r w:rsidRPr="009D1DC6">
        <w:rPr>
          <w:rFonts w:eastAsia="Times New Roman" w:cs="Calibri"/>
          <w:szCs w:val="22"/>
        </w:rPr>
        <w:t xml:space="preserve">Franks, A. H., Harmsen, H. J., </w:t>
      </w:r>
      <w:proofErr w:type="spellStart"/>
      <w:r w:rsidRPr="009D1DC6">
        <w:rPr>
          <w:rFonts w:eastAsia="Times New Roman" w:cs="Calibri"/>
          <w:szCs w:val="22"/>
        </w:rPr>
        <w:t>Raangs</w:t>
      </w:r>
      <w:proofErr w:type="spellEnd"/>
      <w:r w:rsidRPr="009D1DC6">
        <w:rPr>
          <w:rFonts w:eastAsia="Times New Roman" w:cs="Calibri"/>
          <w:szCs w:val="22"/>
        </w:rPr>
        <w:t xml:space="preserve">, G. C., Jansen, G. J., Schut, F., &amp; Welling, G. W. (1998). Variations of bacterial populations in human </w:t>
      </w:r>
      <w:proofErr w:type="spellStart"/>
      <w:r w:rsidRPr="009D1DC6">
        <w:rPr>
          <w:rFonts w:eastAsia="Times New Roman" w:cs="Calibri"/>
          <w:szCs w:val="22"/>
        </w:rPr>
        <w:t>feces</w:t>
      </w:r>
      <w:proofErr w:type="spellEnd"/>
      <w:r w:rsidRPr="009D1DC6">
        <w:rPr>
          <w:rFonts w:eastAsia="Times New Roman" w:cs="Calibri"/>
          <w:szCs w:val="22"/>
        </w:rPr>
        <w:t xml:space="preserve"> measured by fluorescent in situ hybridization with group-specific 16S rRNA-targeted oligonucleotide probes. </w:t>
      </w:r>
      <w:r w:rsidRPr="009D1DC6">
        <w:rPr>
          <w:rFonts w:eastAsia="Times New Roman" w:cs="Calibri"/>
          <w:i/>
          <w:iCs/>
          <w:szCs w:val="22"/>
        </w:rPr>
        <w:t>Applied and Environmental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64</w:t>
      </w:r>
      <w:r w:rsidRPr="009D1DC6">
        <w:rPr>
          <w:rFonts w:eastAsia="Times New Roman" w:cs="Calibri"/>
          <w:szCs w:val="22"/>
        </w:rPr>
        <w:t xml:space="preserve">(9), 3336-3345. </w:t>
      </w:r>
      <w:hyperlink r:id="rId10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https://doi.org/10.1128/aem.64.9.3336-3345.1998</w:t>
        </w:r>
      </w:hyperlink>
    </w:p>
    <w:p w14:paraId="1DF402AA" w14:textId="77777777" w:rsidR="00901B87" w:rsidRPr="009D1DC6" w:rsidRDefault="00901B87" w:rsidP="00901B87">
      <w:pPr>
        <w:spacing w:line="480" w:lineRule="auto"/>
        <w:ind w:left="720" w:hanging="720"/>
        <w:rPr>
          <w:rFonts w:eastAsia="Times New Roman" w:cs="Calibri"/>
          <w:szCs w:val="22"/>
        </w:rPr>
      </w:pPr>
      <w:r w:rsidRPr="009D1DC6">
        <w:rPr>
          <w:rFonts w:eastAsia="Times New Roman" w:cs="Calibri"/>
          <w:szCs w:val="22"/>
        </w:rPr>
        <w:t>Harmsen, H. J., Wildeboer-</w:t>
      </w:r>
      <w:proofErr w:type="spellStart"/>
      <w:r w:rsidRPr="009D1DC6">
        <w:rPr>
          <w:rFonts w:eastAsia="Times New Roman" w:cs="Calibri"/>
          <w:szCs w:val="22"/>
        </w:rPr>
        <w:t>Veloo</w:t>
      </w:r>
      <w:proofErr w:type="spellEnd"/>
      <w:r w:rsidRPr="009D1DC6">
        <w:rPr>
          <w:rFonts w:eastAsia="Times New Roman" w:cs="Calibri"/>
          <w:szCs w:val="22"/>
        </w:rPr>
        <w:t xml:space="preserve">, A. C., Grijpstra, J., Knol, J., Degener, J. E., &amp; Welling, G. W. (2000). Development of 16S rRNA-based probes for the </w:t>
      </w:r>
      <w:proofErr w:type="spellStart"/>
      <w:r w:rsidRPr="009D1DC6">
        <w:rPr>
          <w:rFonts w:eastAsia="Times New Roman" w:cs="Calibri"/>
          <w:i/>
          <w:iCs/>
          <w:szCs w:val="22"/>
        </w:rPr>
        <w:t>Coriobacterium</w:t>
      </w:r>
      <w:proofErr w:type="spellEnd"/>
      <w:r w:rsidRPr="009D1DC6">
        <w:rPr>
          <w:rFonts w:eastAsia="Times New Roman" w:cs="Calibri"/>
          <w:szCs w:val="22"/>
        </w:rPr>
        <w:t xml:space="preserve"> group and the Atopobium cluster and their application for enumeration of </w:t>
      </w:r>
      <w:proofErr w:type="spellStart"/>
      <w:r w:rsidRPr="009D1DC6">
        <w:rPr>
          <w:rFonts w:eastAsia="Times New Roman" w:cs="Calibri"/>
          <w:i/>
          <w:iCs/>
          <w:szCs w:val="22"/>
        </w:rPr>
        <w:t>Coriobacteriaceae</w:t>
      </w:r>
      <w:proofErr w:type="spellEnd"/>
      <w:r w:rsidRPr="009D1DC6">
        <w:rPr>
          <w:rFonts w:eastAsia="Times New Roman" w:cs="Calibri"/>
          <w:i/>
          <w:iCs/>
          <w:szCs w:val="22"/>
        </w:rPr>
        <w:t xml:space="preserve"> </w:t>
      </w:r>
      <w:r w:rsidRPr="009D1DC6">
        <w:rPr>
          <w:rFonts w:eastAsia="Times New Roman" w:cs="Calibri"/>
          <w:szCs w:val="22"/>
        </w:rPr>
        <w:t xml:space="preserve">in human </w:t>
      </w:r>
      <w:proofErr w:type="spellStart"/>
      <w:r w:rsidRPr="009D1DC6">
        <w:rPr>
          <w:rFonts w:eastAsia="Times New Roman" w:cs="Calibri"/>
          <w:szCs w:val="22"/>
        </w:rPr>
        <w:t>feces</w:t>
      </w:r>
      <w:proofErr w:type="spellEnd"/>
      <w:r w:rsidRPr="009D1DC6">
        <w:rPr>
          <w:rFonts w:eastAsia="Times New Roman" w:cs="Calibri"/>
          <w:szCs w:val="22"/>
        </w:rPr>
        <w:t xml:space="preserve"> from volunteers of different age groups. </w:t>
      </w:r>
      <w:r w:rsidRPr="009D1DC6">
        <w:rPr>
          <w:rFonts w:eastAsia="Times New Roman" w:cs="Calibri"/>
          <w:i/>
          <w:iCs/>
          <w:szCs w:val="22"/>
        </w:rPr>
        <w:t>Applied and Environmental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66</w:t>
      </w:r>
      <w:r w:rsidRPr="009D1DC6">
        <w:rPr>
          <w:rFonts w:eastAsia="Times New Roman" w:cs="Calibri"/>
          <w:szCs w:val="22"/>
        </w:rPr>
        <w:t xml:space="preserve">(10), 4523-4527. </w:t>
      </w:r>
      <w:hyperlink r:id="rId11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https://doi.org/10.1128/aem.66.10.4523-4527.2000</w:t>
        </w:r>
      </w:hyperlink>
    </w:p>
    <w:p w14:paraId="48F8E483" w14:textId="77777777" w:rsidR="00901B87" w:rsidRPr="009D1DC6" w:rsidRDefault="00901B87" w:rsidP="00901B87">
      <w:pPr>
        <w:spacing w:line="480" w:lineRule="auto"/>
        <w:ind w:left="720" w:hanging="720"/>
        <w:rPr>
          <w:rFonts w:eastAsia="Times New Roman" w:cs="Calibri"/>
          <w:color w:val="467886"/>
          <w:szCs w:val="22"/>
        </w:rPr>
      </w:pPr>
      <w:r w:rsidRPr="009D1DC6">
        <w:rPr>
          <w:rFonts w:eastAsia="Times New Roman" w:cs="Calibri"/>
          <w:szCs w:val="22"/>
        </w:rPr>
        <w:t xml:space="preserve">Hold, G. L., </w:t>
      </w:r>
      <w:proofErr w:type="spellStart"/>
      <w:r w:rsidRPr="009D1DC6">
        <w:rPr>
          <w:rFonts w:eastAsia="Times New Roman" w:cs="Calibri"/>
          <w:szCs w:val="22"/>
        </w:rPr>
        <w:t>Schwiertz</w:t>
      </w:r>
      <w:proofErr w:type="spellEnd"/>
      <w:r w:rsidRPr="009D1DC6">
        <w:rPr>
          <w:rFonts w:eastAsia="Times New Roman" w:cs="Calibri"/>
          <w:szCs w:val="22"/>
        </w:rPr>
        <w:t xml:space="preserve">, A., Aminov, R. I., Blaut, M., &amp; Flint, H. J. (2003). Oligonucleotide probes that detect quantitatively significant groups of butyrate-producing bacteria in human </w:t>
      </w:r>
      <w:proofErr w:type="spellStart"/>
      <w:r w:rsidRPr="009D1DC6">
        <w:rPr>
          <w:rFonts w:eastAsia="Times New Roman" w:cs="Calibri"/>
          <w:szCs w:val="22"/>
        </w:rPr>
        <w:t>feces</w:t>
      </w:r>
      <w:proofErr w:type="spellEnd"/>
      <w:r w:rsidRPr="009D1DC6">
        <w:rPr>
          <w:rFonts w:eastAsia="Times New Roman" w:cs="Calibri"/>
          <w:szCs w:val="22"/>
        </w:rPr>
        <w:t xml:space="preserve">. </w:t>
      </w:r>
      <w:r w:rsidRPr="009D1DC6">
        <w:rPr>
          <w:rFonts w:eastAsia="Times New Roman" w:cs="Calibri"/>
          <w:i/>
          <w:iCs/>
          <w:szCs w:val="22"/>
        </w:rPr>
        <w:t>Applied and Environmental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69</w:t>
      </w:r>
      <w:r w:rsidRPr="009D1DC6">
        <w:rPr>
          <w:rFonts w:eastAsia="Times New Roman" w:cs="Calibri"/>
          <w:szCs w:val="22"/>
        </w:rPr>
        <w:t xml:space="preserve">(7), 4320-4324. </w:t>
      </w:r>
      <w:hyperlink r:id="rId12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https://doi.org/10.1128/aem.69.7.4320-4324.2003</w:t>
        </w:r>
      </w:hyperlink>
    </w:p>
    <w:p w14:paraId="505E7EED" w14:textId="77777777" w:rsidR="00AA53C4" w:rsidRPr="009D1DC6" w:rsidRDefault="00AA53C4" w:rsidP="00AA53C4">
      <w:pPr>
        <w:spacing w:line="480" w:lineRule="auto"/>
        <w:ind w:left="720" w:hanging="720"/>
        <w:rPr>
          <w:rFonts w:eastAsia="Times New Roman" w:cs="Calibri"/>
          <w:szCs w:val="22"/>
        </w:rPr>
      </w:pPr>
      <w:proofErr w:type="spellStart"/>
      <w:r w:rsidRPr="009D1DC6">
        <w:rPr>
          <w:rFonts w:eastAsia="Times New Roman" w:cs="Calibri"/>
          <w:szCs w:val="22"/>
        </w:rPr>
        <w:t>Langendijk</w:t>
      </w:r>
      <w:proofErr w:type="spellEnd"/>
      <w:r w:rsidRPr="009D1DC6">
        <w:rPr>
          <w:rFonts w:eastAsia="Times New Roman" w:cs="Calibri"/>
          <w:szCs w:val="22"/>
        </w:rPr>
        <w:t xml:space="preserve">, P. S., Schut, F., Jansen, G. J., </w:t>
      </w:r>
      <w:proofErr w:type="spellStart"/>
      <w:r w:rsidRPr="009D1DC6">
        <w:rPr>
          <w:rFonts w:eastAsia="Times New Roman" w:cs="Calibri"/>
          <w:szCs w:val="22"/>
        </w:rPr>
        <w:t>Raangs</w:t>
      </w:r>
      <w:proofErr w:type="spellEnd"/>
      <w:r w:rsidRPr="009D1DC6">
        <w:rPr>
          <w:rFonts w:eastAsia="Times New Roman" w:cs="Calibri"/>
          <w:szCs w:val="22"/>
        </w:rPr>
        <w:t xml:space="preserve">, G. C., Kamphuis, G. R., Wilkinson, M. H., &amp; Welling, G. W. (1995). Quantitative fluorescence in situ hybridization of </w:t>
      </w:r>
      <w:r w:rsidRPr="009D1DC6">
        <w:rPr>
          <w:rFonts w:eastAsia="Times New Roman" w:cs="Calibri"/>
          <w:i/>
          <w:iCs/>
          <w:szCs w:val="22"/>
        </w:rPr>
        <w:t>Bifidobacterium</w:t>
      </w:r>
      <w:r w:rsidRPr="009D1DC6">
        <w:rPr>
          <w:rFonts w:eastAsia="Times New Roman" w:cs="Calibri"/>
          <w:szCs w:val="22"/>
        </w:rPr>
        <w:t xml:space="preserve"> spp. with genus-specific 16S rRNA-targeted probes and its </w:t>
      </w:r>
      <w:r w:rsidRPr="009D1DC6">
        <w:rPr>
          <w:rFonts w:eastAsia="Times New Roman" w:cs="Calibri"/>
          <w:szCs w:val="22"/>
        </w:rPr>
        <w:lastRenderedPageBreak/>
        <w:t xml:space="preserve">application in </w:t>
      </w:r>
      <w:proofErr w:type="spellStart"/>
      <w:r w:rsidRPr="009D1DC6">
        <w:rPr>
          <w:rFonts w:eastAsia="Times New Roman" w:cs="Calibri"/>
          <w:szCs w:val="22"/>
        </w:rPr>
        <w:t>fecal</w:t>
      </w:r>
      <w:proofErr w:type="spellEnd"/>
      <w:r w:rsidRPr="009D1DC6">
        <w:rPr>
          <w:rFonts w:eastAsia="Times New Roman" w:cs="Calibri"/>
          <w:szCs w:val="22"/>
        </w:rPr>
        <w:t xml:space="preserve"> samples. </w:t>
      </w:r>
      <w:r w:rsidRPr="009D1DC6">
        <w:rPr>
          <w:rFonts w:eastAsia="Times New Roman" w:cs="Calibri"/>
          <w:i/>
          <w:iCs/>
          <w:szCs w:val="22"/>
        </w:rPr>
        <w:t>Applied and Environmental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61</w:t>
      </w:r>
      <w:r w:rsidRPr="009D1DC6">
        <w:rPr>
          <w:rFonts w:eastAsia="Times New Roman" w:cs="Calibri"/>
          <w:szCs w:val="22"/>
        </w:rPr>
        <w:t xml:space="preserve">(8), 3069-3075. </w:t>
      </w:r>
      <w:hyperlink r:id="rId13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https://doi.org/10.1128/aem.61.8.3069-3075.1995</w:t>
        </w:r>
      </w:hyperlink>
    </w:p>
    <w:p w14:paraId="7D43E65E" w14:textId="77777777" w:rsidR="00901B87" w:rsidRPr="009D1DC6" w:rsidRDefault="00901B87" w:rsidP="00901B87">
      <w:pPr>
        <w:spacing w:line="480" w:lineRule="auto"/>
        <w:ind w:left="720" w:hanging="720"/>
        <w:rPr>
          <w:rFonts w:eastAsia="Times New Roman" w:cs="Calibri"/>
          <w:szCs w:val="22"/>
        </w:rPr>
      </w:pPr>
      <w:r w:rsidRPr="009D1DC6">
        <w:rPr>
          <w:rFonts w:eastAsia="Times New Roman" w:cs="Calibri"/>
          <w:szCs w:val="22"/>
        </w:rPr>
        <w:t xml:space="preserve">Manz, W., Amann, R., Ludwig, W., </w:t>
      </w:r>
      <w:proofErr w:type="spellStart"/>
      <w:r w:rsidRPr="009D1DC6">
        <w:rPr>
          <w:rFonts w:eastAsia="Times New Roman" w:cs="Calibri"/>
          <w:szCs w:val="22"/>
        </w:rPr>
        <w:t>Vancanneyt</w:t>
      </w:r>
      <w:proofErr w:type="spellEnd"/>
      <w:r w:rsidRPr="009D1DC6">
        <w:rPr>
          <w:rFonts w:eastAsia="Times New Roman" w:cs="Calibri"/>
          <w:szCs w:val="22"/>
        </w:rPr>
        <w:t xml:space="preserve">, M., &amp; Schleifer, K. H. (1996). Application of a suite of 16S rRNA-specific oligonucleotide probes designed to investigate bacteria of the phylum </w:t>
      </w:r>
      <w:proofErr w:type="spellStart"/>
      <w:r w:rsidRPr="009D1DC6">
        <w:rPr>
          <w:rFonts w:eastAsia="Times New Roman" w:cs="Calibri"/>
          <w:szCs w:val="22"/>
        </w:rPr>
        <w:t>cytophaga-flavobacter-bacteroides</w:t>
      </w:r>
      <w:proofErr w:type="spellEnd"/>
      <w:r w:rsidRPr="009D1DC6">
        <w:rPr>
          <w:rFonts w:eastAsia="Times New Roman" w:cs="Calibri"/>
          <w:szCs w:val="22"/>
        </w:rPr>
        <w:t xml:space="preserve"> in the natural environment. </w:t>
      </w:r>
      <w:r w:rsidRPr="009D1DC6">
        <w:rPr>
          <w:rFonts w:eastAsia="Times New Roman" w:cs="Calibri"/>
          <w:i/>
          <w:iCs/>
          <w:szCs w:val="22"/>
        </w:rPr>
        <w:t>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142</w:t>
      </w:r>
      <w:r w:rsidRPr="009D1DC6">
        <w:rPr>
          <w:rFonts w:eastAsia="Times New Roman" w:cs="Calibri"/>
          <w:szCs w:val="22"/>
        </w:rPr>
        <w:t xml:space="preserve">(5), 1097–1106. </w:t>
      </w:r>
      <w:hyperlink r:id="rId14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https://doi.org/10.1099/13500872-142-5-1097</w:t>
        </w:r>
      </w:hyperlink>
    </w:p>
    <w:p w14:paraId="7FA9C891" w14:textId="77777777" w:rsidR="00E57FD6" w:rsidRPr="009D1DC6" w:rsidRDefault="00E57FD6" w:rsidP="00E57FD6">
      <w:pPr>
        <w:spacing w:line="480" w:lineRule="auto"/>
        <w:ind w:left="720" w:hanging="720"/>
        <w:rPr>
          <w:rFonts w:eastAsia="Times New Roman" w:cs="Calibri"/>
          <w:szCs w:val="22"/>
        </w:rPr>
      </w:pPr>
      <w:r w:rsidRPr="009D1DC6">
        <w:rPr>
          <w:rFonts w:eastAsia="Times New Roman" w:cs="Calibri"/>
          <w:szCs w:val="22"/>
        </w:rPr>
        <w:t xml:space="preserve">Richardson, A. J., Calder, A. G., Stewart, C. S., &amp; Smith, A. (1989). Simultaneous determination of volatile and non-volatile acidic fermentation products of anaerobes by capillary gas chromatography. </w:t>
      </w:r>
      <w:r w:rsidRPr="009D1DC6">
        <w:rPr>
          <w:rFonts w:eastAsia="Times New Roman" w:cs="Calibri"/>
          <w:i/>
          <w:iCs/>
          <w:szCs w:val="22"/>
        </w:rPr>
        <w:t>Letters in Applied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9</w:t>
      </w:r>
      <w:r w:rsidRPr="009D1DC6">
        <w:rPr>
          <w:rFonts w:eastAsia="Times New Roman" w:cs="Calibri"/>
          <w:szCs w:val="22"/>
        </w:rPr>
        <w:t xml:space="preserve">(1), 5-8. </w:t>
      </w:r>
      <w:hyperlink r:id="rId15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https://doi.org/10.1111/j.1472-765X.1989.tb00278.x</w:t>
        </w:r>
      </w:hyperlink>
    </w:p>
    <w:p w14:paraId="569BFAB3" w14:textId="77777777" w:rsidR="000542BE" w:rsidRPr="009D1DC6" w:rsidRDefault="000542BE" w:rsidP="000542BE">
      <w:pPr>
        <w:spacing w:line="480" w:lineRule="auto"/>
        <w:ind w:left="720" w:hanging="720"/>
      </w:pPr>
      <w:r w:rsidRPr="009D1DC6">
        <w:rPr>
          <w:rFonts w:eastAsia="Times New Roman" w:cs="Calibri"/>
          <w:szCs w:val="22"/>
        </w:rPr>
        <w:t xml:space="preserve">Wallner, G., Amann, R., &amp; </w:t>
      </w:r>
      <w:proofErr w:type="spellStart"/>
      <w:r w:rsidRPr="009D1DC6">
        <w:rPr>
          <w:rFonts w:eastAsia="Times New Roman" w:cs="Calibri"/>
          <w:szCs w:val="22"/>
        </w:rPr>
        <w:t>Beisker</w:t>
      </w:r>
      <w:proofErr w:type="spellEnd"/>
      <w:r w:rsidRPr="009D1DC6">
        <w:rPr>
          <w:rFonts w:eastAsia="Times New Roman" w:cs="Calibri"/>
          <w:szCs w:val="22"/>
        </w:rPr>
        <w:t xml:space="preserve">, W. (1993). Optimizing fluorescent in situ hybridization with rRNA-targeted oligonucleotide probes for flow cytometric identification of microorganisms. </w:t>
      </w:r>
      <w:r w:rsidRPr="009D1DC6">
        <w:rPr>
          <w:rFonts w:eastAsia="Times New Roman" w:cs="Calibri"/>
          <w:i/>
          <w:iCs/>
          <w:szCs w:val="22"/>
        </w:rPr>
        <w:t>Cytometry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14</w:t>
      </w:r>
      <w:r w:rsidRPr="009D1DC6">
        <w:rPr>
          <w:rFonts w:eastAsia="Times New Roman" w:cs="Calibri"/>
          <w:szCs w:val="22"/>
        </w:rPr>
        <w:t xml:space="preserve">(2), 136-143. </w:t>
      </w:r>
      <w:hyperlink r:id="rId16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https://doi.org/10.1002/cyto.990140205</w:t>
        </w:r>
      </w:hyperlink>
    </w:p>
    <w:p w14:paraId="5C6F8486" w14:textId="77777777" w:rsidR="00D80954" w:rsidRPr="009D1DC6" w:rsidRDefault="00D80954" w:rsidP="00D80954">
      <w:pPr>
        <w:spacing w:line="480" w:lineRule="auto"/>
        <w:ind w:left="720" w:hanging="720"/>
        <w:rPr>
          <w:rFonts w:eastAsia="Times New Roman" w:cs="Calibri"/>
          <w:szCs w:val="22"/>
        </w:rPr>
      </w:pPr>
      <w:r w:rsidRPr="009D1DC6">
        <w:rPr>
          <w:rFonts w:eastAsia="Times New Roman" w:cs="Calibri"/>
          <w:szCs w:val="22"/>
        </w:rPr>
        <w:t xml:space="preserve">Walker, A. W., Duncan, S. H., McWilliam Leitch, E. C., Child, M. W., &amp; Flint, H. J. (2005). pH and peptide supply can radically alter bacterial populations and short-chain fatty acid ratios within microbial communities from the human colon. </w:t>
      </w:r>
      <w:r w:rsidRPr="009D1DC6">
        <w:rPr>
          <w:rFonts w:eastAsia="Times New Roman" w:cs="Calibri"/>
          <w:i/>
          <w:iCs/>
          <w:szCs w:val="22"/>
        </w:rPr>
        <w:t>Applied and Environmental Microbiology</w:t>
      </w:r>
      <w:r w:rsidRPr="009D1DC6">
        <w:rPr>
          <w:rFonts w:eastAsia="Times New Roman" w:cs="Calibri"/>
          <w:szCs w:val="22"/>
        </w:rPr>
        <w:t xml:space="preserve">, </w:t>
      </w:r>
      <w:r w:rsidRPr="009D1DC6">
        <w:rPr>
          <w:rFonts w:eastAsia="Times New Roman" w:cs="Calibri"/>
          <w:i/>
          <w:iCs/>
          <w:szCs w:val="22"/>
        </w:rPr>
        <w:t>71</w:t>
      </w:r>
      <w:r w:rsidRPr="009D1DC6">
        <w:rPr>
          <w:rFonts w:eastAsia="Times New Roman" w:cs="Calibri"/>
          <w:szCs w:val="22"/>
        </w:rPr>
        <w:t xml:space="preserve">(7), 3692-3700. </w:t>
      </w:r>
      <w:hyperlink r:id="rId17" w:tgtFrame="_blank" w:history="1">
        <w:r w:rsidRPr="009D1DC6">
          <w:rPr>
            <w:rFonts w:eastAsia="Times New Roman" w:cs="Calibri"/>
            <w:color w:val="467886"/>
            <w:szCs w:val="22"/>
            <w:u w:val="single"/>
          </w:rPr>
          <w:t>https://doi.org/10.1128/aem.71.7.3692-3700.2005</w:t>
        </w:r>
      </w:hyperlink>
    </w:p>
    <w:p w14:paraId="2CB2A4F8" w14:textId="77777777" w:rsidR="00D80954" w:rsidRPr="009D1DC6" w:rsidRDefault="00D80954" w:rsidP="000542BE">
      <w:pPr>
        <w:spacing w:line="480" w:lineRule="auto"/>
        <w:ind w:left="720" w:hanging="720"/>
        <w:rPr>
          <w:rFonts w:eastAsia="Times New Roman" w:cs="Calibri"/>
          <w:color w:val="467886"/>
          <w:szCs w:val="22"/>
        </w:rPr>
      </w:pPr>
    </w:p>
    <w:p w14:paraId="64C8CE0B" w14:textId="77777777" w:rsidR="0043620D" w:rsidRPr="009D1DC6" w:rsidRDefault="0043620D"/>
    <w:p w14:paraId="2D475018" w14:textId="77777777" w:rsidR="00237111" w:rsidRDefault="00237111"/>
    <w:sectPr w:rsidR="00237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B43"/>
    <w:multiLevelType w:val="hybridMultilevel"/>
    <w:tmpl w:val="F9C2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7BFC"/>
    <w:multiLevelType w:val="hybridMultilevel"/>
    <w:tmpl w:val="4EACA4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E5E80"/>
    <w:multiLevelType w:val="multilevel"/>
    <w:tmpl w:val="B31E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E5A86"/>
    <w:multiLevelType w:val="multilevel"/>
    <w:tmpl w:val="3126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83800"/>
    <w:multiLevelType w:val="multilevel"/>
    <w:tmpl w:val="3BB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60A4D"/>
    <w:multiLevelType w:val="multilevel"/>
    <w:tmpl w:val="96F2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62FB7"/>
    <w:multiLevelType w:val="hybridMultilevel"/>
    <w:tmpl w:val="6848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60CDE"/>
    <w:multiLevelType w:val="hybridMultilevel"/>
    <w:tmpl w:val="302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D6FBE"/>
    <w:multiLevelType w:val="multilevel"/>
    <w:tmpl w:val="328C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523A6"/>
    <w:multiLevelType w:val="multilevel"/>
    <w:tmpl w:val="A40C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163E2"/>
    <w:multiLevelType w:val="hybridMultilevel"/>
    <w:tmpl w:val="ABD4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D6E5C"/>
    <w:multiLevelType w:val="multilevel"/>
    <w:tmpl w:val="9702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B1CD7"/>
    <w:multiLevelType w:val="hybridMultilevel"/>
    <w:tmpl w:val="090A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2268"/>
    <w:multiLevelType w:val="hybridMultilevel"/>
    <w:tmpl w:val="BE2E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34631"/>
    <w:multiLevelType w:val="multilevel"/>
    <w:tmpl w:val="4788B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48844432">
    <w:abstractNumId w:val="0"/>
  </w:num>
  <w:num w:numId="2" w16cid:durableId="80180249">
    <w:abstractNumId w:val="6"/>
  </w:num>
  <w:num w:numId="3" w16cid:durableId="114905975">
    <w:abstractNumId w:val="2"/>
  </w:num>
  <w:num w:numId="4" w16cid:durableId="1728527211">
    <w:abstractNumId w:val="1"/>
  </w:num>
  <w:num w:numId="5" w16cid:durableId="1043941987">
    <w:abstractNumId w:val="14"/>
  </w:num>
  <w:num w:numId="6" w16cid:durableId="1285423920">
    <w:abstractNumId w:val="13"/>
  </w:num>
  <w:num w:numId="7" w16cid:durableId="1083841830">
    <w:abstractNumId w:val="10"/>
  </w:num>
  <w:num w:numId="8" w16cid:durableId="216162693">
    <w:abstractNumId w:val="12"/>
  </w:num>
  <w:num w:numId="9" w16cid:durableId="51008115">
    <w:abstractNumId w:val="7"/>
  </w:num>
  <w:num w:numId="10" w16cid:durableId="1596865218">
    <w:abstractNumId w:val="11"/>
  </w:num>
  <w:num w:numId="11" w16cid:durableId="689570711">
    <w:abstractNumId w:val="4"/>
  </w:num>
  <w:num w:numId="12" w16cid:durableId="518005587">
    <w:abstractNumId w:val="5"/>
  </w:num>
  <w:num w:numId="13" w16cid:durableId="304510472">
    <w:abstractNumId w:val="3"/>
  </w:num>
  <w:num w:numId="14" w16cid:durableId="95179423">
    <w:abstractNumId w:val="8"/>
  </w:num>
  <w:num w:numId="15" w16cid:durableId="1023943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A5"/>
    <w:rsid w:val="00000CE5"/>
    <w:rsid w:val="00026998"/>
    <w:rsid w:val="000471B6"/>
    <w:rsid w:val="000542BE"/>
    <w:rsid w:val="000732BD"/>
    <w:rsid w:val="0007641A"/>
    <w:rsid w:val="00096953"/>
    <w:rsid w:val="000C051C"/>
    <w:rsid w:val="000D22DC"/>
    <w:rsid w:val="000E54CE"/>
    <w:rsid w:val="000F2478"/>
    <w:rsid w:val="00101552"/>
    <w:rsid w:val="00121E9B"/>
    <w:rsid w:val="00123719"/>
    <w:rsid w:val="00140F4E"/>
    <w:rsid w:val="0016502F"/>
    <w:rsid w:val="00175B25"/>
    <w:rsid w:val="00180A9B"/>
    <w:rsid w:val="001841B5"/>
    <w:rsid w:val="00193ACA"/>
    <w:rsid w:val="001A1490"/>
    <w:rsid w:val="001D058A"/>
    <w:rsid w:val="001F4BF1"/>
    <w:rsid w:val="0020369C"/>
    <w:rsid w:val="00207B06"/>
    <w:rsid w:val="00231676"/>
    <w:rsid w:val="00236204"/>
    <w:rsid w:val="00237111"/>
    <w:rsid w:val="002520BB"/>
    <w:rsid w:val="0025437A"/>
    <w:rsid w:val="00267237"/>
    <w:rsid w:val="00274261"/>
    <w:rsid w:val="00282A55"/>
    <w:rsid w:val="002960A5"/>
    <w:rsid w:val="002A6550"/>
    <w:rsid w:val="002A7BDD"/>
    <w:rsid w:val="002B0FDA"/>
    <w:rsid w:val="002C4C27"/>
    <w:rsid w:val="002C562D"/>
    <w:rsid w:val="002E1720"/>
    <w:rsid w:val="003130BF"/>
    <w:rsid w:val="003262F5"/>
    <w:rsid w:val="00331BCB"/>
    <w:rsid w:val="00340A1C"/>
    <w:rsid w:val="00356946"/>
    <w:rsid w:val="00357F02"/>
    <w:rsid w:val="0037483E"/>
    <w:rsid w:val="003818F3"/>
    <w:rsid w:val="00381F9D"/>
    <w:rsid w:val="00397E79"/>
    <w:rsid w:val="003B0D9D"/>
    <w:rsid w:val="003B3480"/>
    <w:rsid w:val="003D3117"/>
    <w:rsid w:val="003E6F20"/>
    <w:rsid w:val="0040634F"/>
    <w:rsid w:val="00410A36"/>
    <w:rsid w:val="00413770"/>
    <w:rsid w:val="00430059"/>
    <w:rsid w:val="0043620D"/>
    <w:rsid w:val="00447495"/>
    <w:rsid w:val="00451D4C"/>
    <w:rsid w:val="0045387B"/>
    <w:rsid w:val="004602C8"/>
    <w:rsid w:val="0046421B"/>
    <w:rsid w:val="00465E28"/>
    <w:rsid w:val="0046601B"/>
    <w:rsid w:val="004674EA"/>
    <w:rsid w:val="004817A2"/>
    <w:rsid w:val="004B0137"/>
    <w:rsid w:val="004B0F41"/>
    <w:rsid w:val="004B35AA"/>
    <w:rsid w:val="004C7A73"/>
    <w:rsid w:val="004D00B2"/>
    <w:rsid w:val="004D09A2"/>
    <w:rsid w:val="004D6CD7"/>
    <w:rsid w:val="004D77ED"/>
    <w:rsid w:val="005221D5"/>
    <w:rsid w:val="00541164"/>
    <w:rsid w:val="00545713"/>
    <w:rsid w:val="00545E6C"/>
    <w:rsid w:val="00572DCE"/>
    <w:rsid w:val="00577450"/>
    <w:rsid w:val="00581DDC"/>
    <w:rsid w:val="00584F94"/>
    <w:rsid w:val="005B5409"/>
    <w:rsid w:val="005D0D5E"/>
    <w:rsid w:val="005D2A33"/>
    <w:rsid w:val="005F227C"/>
    <w:rsid w:val="005F73F2"/>
    <w:rsid w:val="0060744F"/>
    <w:rsid w:val="006117BA"/>
    <w:rsid w:val="00615743"/>
    <w:rsid w:val="006228E1"/>
    <w:rsid w:val="00633585"/>
    <w:rsid w:val="006345B8"/>
    <w:rsid w:val="00641861"/>
    <w:rsid w:val="006656AD"/>
    <w:rsid w:val="006C7422"/>
    <w:rsid w:val="006E7EED"/>
    <w:rsid w:val="00733CC7"/>
    <w:rsid w:val="007448AB"/>
    <w:rsid w:val="0075577B"/>
    <w:rsid w:val="00770C0A"/>
    <w:rsid w:val="00780DD2"/>
    <w:rsid w:val="0079564B"/>
    <w:rsid w:val="0079628E"/>
    <w:rsid w:val="007B524E"/>
    <w:rsid w:val="007D2D74"/>
    <w:rsid w:val="007D346A"/>
    <w:rsid w:val="007F2459"/>
    <w:rsid w:val="007F5A7B"/>
    <w:rsid w:val="00804360"/>
    <w:rsid w:val="0082678F"/>
    <w:rsid w:val="00842AD6"/>
    <w:rsid w:val="00845FD7"/>
    <w:rsid w:val="00882EFF"/>
    <w:rsid w:val="008B655A"/>
    <w:rsid w:val="008E5FCA"/>
    <w:rsid w:val="00901B87"/>
    <w:rsid w:val="00935FED"/>
    <w:rsid w:val="00961BF5"/>
    <w:rsid w:val="0097421C"/>
    <w:rsid w:val="00977EF3"/>
    <w:rsid w:val="009844E5"/>
    <w:rsid w:val="0099184A"/>
    <w:rsid w:val="00995462"/>
    <w:rsid w:val="009B1747"/>
    <w:rsid w:val="009D1DC6"/>
    <w:rsid w:val="009E0328"/>
    <w:rsid w:val="009E0838"/>
    <w:rsid w:val="009F7478"/>
    <w:rsid w:val="00A17EC4"/>
    <w:rsid w:val="00A27B6A"/>
    <w:rsid w:val="00A319BC"/>
    <w:rsid w:val="00A31C33"/>
    <w:rsid w:val="00A43695"/>
    <w:rsid w:val="00A520D3"/>
    <w:rsid w:val="00A56B28"/>
    <w:rsid w:val="00AA4C0D"/>
    <w:rsid w:val="00AA53C4"/>
    <w:rsid w:val="00AC2FBE"/>
    <w:rsid w:val="00AD5A3F"/>
    <w:rsid w:val="00AE465E"/>
    <w:rsid w:val="00B10AA7"/>
    <w:rsid w:val="00B1356A"/>
    <w:rsid w:val="00B26DFC"/>
    <w:rsid w:val="00B30327"/>
    <w:rsid w:val="00B3336D"/>
    <w:rsid w:val="00B40ED2"/>
    <w:rsid w:val="00B50592"/>
    <w:rsid w:val="00B57449"/>
    <w:rsid w:val="00B87166"/>
    <w:rsid w:val="00B97054"/>
    <w:rsid w:val="00BA19EA"/>
    <w:rsid w:val="00BA247A"/>
    <w:rsid w:val="00BA7BEE"/>
    <w:rsid w:val="00BB20D4"/>
    <w:rsid w:val="00BB251A"/>
    <w:rsid w:val="00BB5B6F"/>
    <w:rsid w:val="00BC3D92"/>
    <w:rsid w:val="00BC4A3E"/>
    <w:rsid w:val="00BD2E0D"/>
    <w:rsid w:val="00BD5FA1"/>
    <w:rsid w:val="00BD73F3"/>
    <w:rsid w:val="00BE5078"/>
    <w:rsid w:val="00BE5C35"/>
    <w:rsid w:val="00BF2825"/>
    <w:rsid w:val="00C1514B"/>
    <w:rsid w:val="00C2130D"/>
    <w:rsid w:val="00C237F7"/>
    <w:rsid w:val="00C41B97"/>
    <w:rsid w:val="00C50A77"/>
    <w:rsid w:val="00C52B15"/>
    <w:rsid w:val="00C938F0"/>
    <w:rsid w:val="00CB2EE5"/>
    <w:rsid w:val="00CB35F6"/>
    <w:rsid w:val="00CB69B1"/>
    <w:rsid w:val="00CF635B"/>
    <w:rsid w:val="00D04A4B"/>
    <w:rsid w:val="00D32BF8"/>
    <w:rsid w:val="00D41D70"/>
    <w:rsid w:val="00D4254B"/>
    <w:rsid w:val="00D42D19"/>
    <w:rsid w:val="00D45FB0"/>
    <w:rsid w:val="00D665C9"/>
    <w:rsid w:val="00D66E8B"/>
    <w:rsid w:val="00D80954"/>
    <w:rsid w:val="00D81D28"/>
    <w:rsid w:val="00D95C14"/>
    <w:rsid w:val="00D96F8B"/>
    <w:rsid w:val="00DA255A"/>
    <w:rsid w:val="00DD62C1"/>
    <w:rsid w:val="00DD7993"/>
    <w:rsid w:val="00DE153A"/>
    <w:rsid w:val="00DF0319"/>
    <w:rsid w:val="00DF1701"/>
    <w:rsid w:val="00DF59C3"/>
    <w:rsid w:val="00E14979"/>
    <w:rsid w:val="00E2153A"/>
    <w:rsid w:val="00E23E83"/>
    <w:rsid w:val="00E438E2"/>
    <w:rsid w:val="00E57FD6"/>
    <w:rsid w:val="00E62E78"/>
    <w:rsid w:val="00E74B03"/>
    <w:rsid w:val="00E8331D"/>
    <w:rsid w:val="00E835A3"/>
    <w:rsid w:val="00E86161"/>
    <w:rsid w:val="00EE1164"/>
    <w:rsid w:val="00EE2ACA"/>
    <w:rsid w:val="00F03E55"/>
    <w:rsid w:val="00F04C47"/>
    <w:rsid w:val="00F07950"/>
    <w:rsid w:val="00F20B99"/>
    <w:rsid w:val="00F225EB"/>
    <w:rsid w:val="00F267C3"/>
    <w:rsid w:val="00F45D7F"/>
    <w:rsid w:val="00F540AF"/>
    <w:rsid w:val="00F635AA"/>
    <w:rsid w:val="00F67B47"/>
    <w:rsid w:val="00F72D32"/>
    <w:rsid w:val="00F93D18"/>
    <w:rsid w:val="00FE3A04"/>
    <w:rsid w:val="00FE58F2"/>
    <w:rsid w:val="00FF1353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21EC8"/>
  <w15:chartTrackingRefBased/>
  <w15:docId w15:val="{7876E097-065B-1F4B-BBB1-4EBD942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A5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57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572DCE"/>
    <w:rPr>
      <w:rFonts w:ascii="Times New Roman" w:eastAsia="Times New Roman" w:hAnsi="Times New Roman" w:cs="Times New Roman"/>
      <w:kern w:val="0"/>
      <w14:ligatures w14:val="none"/>
    </w:rPr>
  </w:style>
  <w:style w:type="table" w:styleId="PlainTable2">
    <w:name w:val="Plain Table 2"/>
    <w:basedOn w:val="TableNormal"/>
    <w:uiPriority w:val="42"/>
    <w:rsid w:val="00572D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E6F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0723-2020(99)80053-8" TargetMode="External"/><Relationship Id="rId13" Type="http://schemas.openxmlformats.org/officeDocument/2006/relationships/hyperlink" Target="https://doi.org/10.1128/aem.61.8.3069-3075.199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128/aem.56.6.1919-1925.1990" TargetMode="External"/><Relationship Id="rId12" Type="http://schemas.openxmlformats.org/officeDocument/2006/relationships/hyperlink" Target="https://doi.org/10.1128/aem.69.7.4320-4324.2003" TargetMode="External"/><Relationship Id="rId17" Type="http://schemas.openxmlformats.org/officeDocument/2006/relationships/hyperlink" Target="https://doi.org/10.1128/aem.71.7.3692-3700.2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2/cyto.990140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7864/1947.001505" TargetMode="External"/><Relationship Id="rId11" Type="http://schemas.openxmlformats.org/officeDocument/2006/relationships/hyperlink" Target="https://doi.org/10.1128/aem.66.10.4523-4527.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j.1472-765X.1989.tb00278.x" TargetMode="External"/><Relationship Id="rId10" Type="http://schemas.openxmlformats.org/officeDocument/2006/relationships/hyperlink" Target="https://doi.org/10.1128/aem.64.9.3336-3345.199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S0723-2020(11)80122-0" TargetMode="External"/><Relationship Id="rId14" Type="http://schemas.openxmlformats.org/officeDocument/2006/relationships/hyperlink" Target="https://doi.org/10.1099/13500872-142-5-1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F7261F-300A-FE48-B510-C24BA818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1786</Words>
  <Characters>12009</Characters>
  <Application>Microsoft Office Word</Application>
  <DocSecurity>0</DocSecurity>
  <Lines>292</Lines>
  <Paragraphs>215</Paragraphs>
  <ScaleCrop>false</ScaleCrop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Manxi Huang</dc:creator>
  <cp:keywords/>
  <dc:description/>
  <cp:lastModifiedBy>Manxi Huang</cp:lastModifiedBy>
  <cp:revision>71</cp:revision>
  <dcterms:created xsi:type="dcterms:W3CDTF">2026-03-05T17:04:00Z</dcterms:created>
  <dcterms:modified xsi:type="dcterms:W3CDTF">2026-03-06T20:14:00Z</dcterms:modified>
</cp:coreProperties>
</file>