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5D4D"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bookmarkStart w:id="0" w:name="_GoBack"/>
      <w:bookmarkEnd w:id="0"/>
    </w:p>
    <w:p w14:paraId="35C4593F"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1. PROJECT</w:t>
      </w:r>
    </w:p>
    <w:p w14:paraId="48A08C8B"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w:t>
      </w:r>
    </w:p>
    <w:p w14:paraId="523C9559"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24214088" w14:textId="02CC2CCC" w:rsidR="000824F9" w:rsidRPr="00330272" w:rsidRDefault="003C1F9F" w:rsidP="000824F9">
      <w:pPr>
        <w:autoSpaceDE w:val="0"/>
        <w:autoSpaceDN w:val="0"/>
        <w:adjustRightInd w:val="0"/>
        <w:spacing w:after="0" w:line="240" w:lineRule="auto"/>
        <w:rPr>
          <w:rFonts w:eastAsia="Times New Roman" w:cstheme="minorHAnsi"/>
          <w:lang w:eastAsia="en-GB"/>
        </w:rPr>
      </w:pPr>
      <w:r w:rsidRPr="00330272">
        <w:rPr>
          <w:rFonts w:eastAsia="Times New Roman" w:cstheme="minorHAnsi"/>
          <w:lang w:eastAsia="en-GB"/>
        </w:rPr>
        <w:t xml:space="preserve">Title: </w:t>
      </w:r>
      <w:r w:rsidR="003279D0" w:rsidRPr="00330272">
        <w:rPr>
          <w:rFonts w:eastAsia="Times New Roman" w:cstheme="minorHAnsi"/>
          <w:lang w:eastAsia="en-GB"/>
        </w:rPr>
        <w:t>Verbal</w:t>
      </w:r>
      <w:r w:rsidR="00CB5B36" w:rsidRPr="00330272">
        <w:rPr>
          <w:rFonts w:eastAsia="Times New Roman" w:cstheme="minorHAnsi"/>
          <w:lang w:eastAsia="en-GB"/>
        </w:rPr>
        <w:t xml:space="preserve"> fluency in Bengali-English bilinguals with aphasia and bilingual healthy controls</w:t>
      </w:r>
    </w:p>
    <w:p w14:paraId="50177653" w14:textId="71D56F71" w:rsidR="003C1F9F" w:rsidRPr="00330272" w:rsidRDefault="003C1F9F" w:rsidP="000824F9">
      <w:pPr>
        <w:autoSpaceDE w:val="0"/>
        <w:autoSpaceDN w:val="0"/>
        <w:adjustRightInd w:val="0"/>
        <w:spacing w:after="0" w:line="240" w:lineRule="auto"/>
        <w:rPr>
          <w:rFonts w:eastAsia="Times New Roman" w:cstheme="minorHAnsi"/>
          <w:lang w:eastAsia="en-GB"/>
        </w:rPr>
      </w:pPr>
      <w:r w:rsidRPr="00330272">
        <w:rPr>
          <w:rFonts w:eastAsia="Times New Roman" w:cstheme="minorHAnsi"/>
          <w:lang w:eastAsia="en-GB"/>
        </w:rPr>
        <w:t>Dates:</w:t>
      </w:r>
      <w:r w:rsidR="00397F0C" w:rsidRPr="00330272">
        <w:rPr>
          <w:rFonts w:eastAsia="Times New Roman" w:cstheme="minorHAnsi"/>
          <w:lang w:eastAsia="en-GB"/>
        </w:rPr>
        <w:t xml:space="preserve"> S</w:t>
      </w:r>
      <w:r w:rsidR="002A14D1" w:rsidRPr="00330272">
        <w:rPr>
          <w:rFonts w:eastAsia="Times New Roman" w:cstheme="minorHAnsi"/>
          <w:lang w:eastAsia="en-GB"/>
        </w:rPr>
        <w:t>eptember 2014- September 2017</w:t>
      </w:r>
    </w:p>
    <w:p w14:paraId="2F232D16"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 xml:space="preserve">Funding organisation: </w:t>
      </w:r>
      <w:r w:rsidR="002A14D1" w:rsidRPr="00330272">
        <w:rPr>
          <w:rFonts w:eastAsia="Times New Roman" w:cstheme="minorHAnsi"/>
          <w:lang w:eastAsia="en-GB"/>
        </w:rPr>
        <w:t>The Felix Trust, UK</w:t>
      </w:r>
    </w:p>
    <w:p w14:paraId="73858426"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642B99DE"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2. DATASET</w:t>
      </w:r>
    </w:p>
    <w:p w14:paraId="77BAC16C"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w:t>
      </w:r>
    </w:p>
    <w:p w14:paraId="529B3C07"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285AB2AF" w14:textId="3CC74CE2" w:rsidR="00DC4F4D" w:rsidRPr="00330272" w:rsidRDefault="003C1F9F" w:rsidP="00680D6B">
      <w:pPr>
        <w:pStyle w:val="Default"/>
        <w:rPr>
          <w:rFonts w:asciiTheme="minorHAnsi" w:hAnsiTheme="minorHAnsi" w:cstheme="minorHAnsi"/>
          <w:sz w:val="22"/>
          <w:szCs w:val="22"/>
        </w:rPr>
      </w:pPr>
      <w:r w:rsidRPr="00330272">
        <w:rPr>
          <w:rFonts w:asciiTheme="minorHAnsi" w:eastAsia="Times New Roman" w:hAnsiTheme="minorHAnsi" w:cstheme="minorHAnsi"/>
          <w:sz w:val="22"/>
          <w:szCs w:val="22"/>
          <w:lang w:eastAsia="en-GB"/>
        </w:rPr>
        <w:t>Title:</w:t>
      </w:r>
      <w:r w:rsidR="005E70EB" w:rsidRPr="00330272">
        <w:rPr>
          <w:rFonts w:asciiTheme="minorHAnsi" w:eastAsia="Times New Roman" w:hAnsiTheme="minorHAnsi" w:cstheme="minorHAnsi"/>
          <w:sz w:val="22"/>
          <w:szCs w:val="22"/>
          <w:lang w:eastAsia="en-GB"/>
        </w:rPr>
        <w:t xml:space="preserve"> </w:t>
      </w:r>
      <w:r w:rsidR="003279D0" w:rsidRPr="00330272">
        <w:rPr>
          <w:rFonts w:asciiTheme="minorHAnsi" w:eastAsia="Times New Roman" w:hAnsiTheme="minorHAnsi" w:cstheme="minorHAnsi"/>
          <w:sz w:val="22"/>
          <w:szCs w:val="22"/>
          <w:lang w:eastAsia="en-GB"/>
        </w:rPr>
        <w:t>V</w:t>
      </w:r>
      <w:r w:rsidR="00CB5B36" w:rsidRPr="00330272">
        <w:rPr>
          <w:rFonts w:asciiTheme="minorHAnsi" w:eastAsia="Times New Roman" w:hAnsiTheme="minorHAnsi" w:cstheme="minorHAnsi"/>
          <w:sz w:val="22"/>
          <w:szCs w:val="22"/>
          <w:lang w:eastAsia="en-GB"/>
        </w:rPr>
        <w:t>erbal fluency in Bengali-English bilinguals with aphasia and bilingual healthy controls</w:t>
      </w:r>
    </w:p>
    <w:p w14:paraId="3A85AAC2" w14:textId="77777777" w:rsidR="00680D6B" w:rsidRPr="00330272" w:rsidRDefault="00680D6B"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34F49D62" w14:textId="5F9331A6" w:rsidR="00B30057" w:rsidRPr="00330272" w:rsidRDefault="003C1F9F" w:rsidP="00A2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noProof/>
          <w:shd w:val="clear" w:color="auto" w:fill="FFFFFF"/>
        </w:rPr>
      </w:pPr>
      <w:r w:rsidRPr="00330272">
        <w:rPr>
          <w:rFonts w:eastAsia="Times New Roman" w:cstheme="minorHAnsi"/>
          <w:b/>
          <w:lang w:eastAsia="en-GB"/>
        </w:rPr>
        <w:t>Description:</w:t>
      </w:r>
      <w:r w:rsidRPr="00330272">
        <w:rPr>
          <w:rFonts w:eastAsia="Times New Roman" w:cstheme="minorHAnsi"/>
          <w:lang w:eastAsia="en-GB"/>
        </w:rPr>
        <w:t xml:space="preserve"> </w:t>
      </w:r>
      <w:r w:rsidR="00B30057" w:rsidRPr="00330272">
        <w:rPr>
          <w:rFonts w:eastAsia="Times New Roman" w:cstheme="minorHAnsi"/>
          <w:lang w:eastAsia="en-GB"/>
        </w:rPr>
        <w:t>We investigated</w:t>
      </w:r>
      <w:r w:rsidR="00DC4F4D" w:rsidRPr="00330272">
        <w:rPr>
          <w:rFonts w:eastAsia="Times New Roman" w:cstheme="minorHAnsi"/>
          <w:lang w:eastAsia="en-GB"/>
        </w:rPr>
        <w:t xml:space="preserve"> </w:t>
      </w:r>
      <w:r w:rsidR="00A23897" w:rsidRPr="00330272">
        <w:rPr>
          <w:rFonts w:eastAsia="Times New Roman" w:cstheme="minorHAnsi"/>
          <w:lang w:eastAsia="en-GB"/>
        </w:rPr>
        <w:t xml:space="preserve">the </w:t>
      </w:r>
      <w:r w:rsidR="005407C8" w:rsidRPr="00330272">
        <w:rPr>
          <w:rFonts w:eastAsia="Times New Roman" w:cstheme="minorHAnsi"/>
          <w:lang w:eastAsia="en-GB"/>
        </w:rPr>
        <w:t xml:space="preserve">contribution of </w:t>
      </w:r>
      <w:r w:rsidR="00A23897" w:rsidRPr="00330272">
        <w:rPr>
          <w:rFonts w:eastAsia="Times New Roman" w:cstheme="minorHAnsi"/>
          <w:lang w:eastAsia="en-GB"/>
        </w:rPr>
        <w:t>linguistic and executive control</w:t>
      </w:r>
      <w:r w:rsidR="005407C8" w:rsidRPr="00330272">
        <w:rPr>
          <w:rFonts w:eastAsia="Times New Roman" w:cstheme="minorHAnsi"/>
          <w:lang w:eastAsia="en-GB"/>
        </w:rPr>
        <w:t xml:space="preserve"> processes </w:t>
      </w:r>
      <w:r w:rsidR="00A23897" w:rsidRPr="00330272">
        <w:rPr>
          <w:rFonts w:eastAsia="Times New Roman" w:cstheme="minorHAnsi"/>
          <w:lang w:eastAsia="en-GB"/>
        </w:rPr>
        <w:t xml:space="preserve">in </w:t>
      </w:r>
      <w:r w:rsidR="00CB5B36" w:rsidRPr="00330272">
        <w:rPr>
          <w:rFonts w:eastAsia="Times New Roman" w:cstheme="minorHAnsi"/>
          <w:lang w:eastAsia="en-GB"/>
        </w:rPr>
        <w:t>verbal fluency performance</w:t>
      </w:r>
      <w:r w:rsidR="00A23897" w:rsidRPr="00330272">
        <w:rPr>
          <w:rFonts w:eastAsia="Times New Roman" w:cstheme="minorHAnsi"/>
          <w:lang w:eastAsia="en-GB"/>
        </w:rPr>
        <w:t xml:space="preserve"> for </w:t>
      </w:r>
      <w:r w:rsidR="005407C8" w:rsidRPr="00330272">
        <w:rPr>
          <w:rFonts w:eastAsia="Times New Roman" w:cstheme="minorHAnsi"/>
          <w:lang w:eastAsia="en-GB"/>
        </w:rPr>
        <w:t xml:space="preserve">Bengali-English </w:t>
      </w:r>
      <w:r w:rsidR="00A23897" w:rsidRPr="00330272">
        <w:rPr>
          <w:rFonts w:eastAsia="Times New Roman" w:cstheme="minorHAnsi"/>
          <w:lang w:eastAsia="en-GB"/>
        </w:rPr>
        <w:t>bilingual</w:t>
      </w:r>
      <w:r w:rsidR="00CB5B36" w:rsidRPr="00330272">
        <w:rPr>
          <w:rFonts w:eastAsia="Times New Roman" w:cstheme="minorHAnsi"/>
          <w:lang w:eastAsia="en-GB"/>
        </w:rPr>
        <w:t>s with aphasia</w:t>
      </w:r>
      <w:r w:rsidR="00A23897" w:rsidRPr="00330272">
        <w:rPr>
          <w:rFonts w:eastAsia="Times New Roman" w:cstheme="minorHAnsi"/>
          <w:lang w:eastAsia="en-GB"/>
        </w:rPr>
        <w:t xml:space="preserve"> </w:t>
      </w:r>
      <w:r w:rsidR="005407C8" w:rsidRPr="00330272">
        <w:rPr>
          <w:rFonts w:eastAsia="Times New Roman" w:cstheme="minorHAnsi"/>
          <w:lang w:eastAsia="en-GB"/>
        </w:rPr>
        <w:t xml:space="preserve">and </w:t>
      </w:r>
      <w:r w:rsidR="00CB5B36" w:rsidRPr="00330272">
        <w:rPr>
          <w:rFonts w:eastAsia="Times New Roman" w:cstheme="minorHAnsi"/>
          <w:lang w:eastAsia="en-GB"/>
        </w:rPr>
        <w:t>bilingual healthy controls</w:t>
      </w:r>
      <w:r w:rsidR="00A23897" w:rsidRPr="00330272">
        <w:rPr>
          <w:rFonts w:eastAsia="Times New Roman" w:cstheme="minorHAnsi"/>
          <w:lang w:eastAsia="en-GB"/>
        </w:rPr>
        <w:t xml:space="preserve">. </w:t>
      </w:r>
      <w:r w:rsidR="003B4865" w:rsidRPr="00330272">
        <w:rPr>
          <w:rFonts w:eastAsia="Times New Roman" w:cstheme="minorHAnsi"/>
          <w:lang w:eastAsia="en-GB"/>
        </w:rPr>
        <w:t>W</w:t>
      </w:r>
      <w:r w:rsidR="00A23897" w:rsidRPr="00330272">
        <w:rPr>
          <w:rFonts w:eastAsia="Times New Roman" w:cstheme="minorHAnsi"/>
          <w:lang w:eastAsia="en-GB"/>
        </w:rPr>
        <w:t xml:space="preserve">e collected </w:t>
      </w:r>
      <w:r w:rsidR="00CB5B36" w:rsidRPr="00330272">
        <w:rPr>
          <w:rFonts w:eastAsia="Times New Roman" w:cstheme="minorHAnsi"/>
          <w:lang w:eastAsia="en-GB"/>
        </w:rPr>
        <w:t>verbal fluency data</w:t>
      </w:r>
      <w:r w:rsidR="00A23897" w:rsidRPr="00330272">
        <w:rPr>
          <w:rFonts w:eastAsia="Times New Roman" w:cstheme="minorHAnsi"/>
          <w:lang w:eastAsia="en-GB"/>
        </w:rPr>
        <w:t xml:space="preserve">, executive control data </w:t>
      </w:r>
      <w:r w:rsidR="00B30057" w:rsidRPr="00330272">
        <w:rPr>
          <w:rFonts w:eastAsia="Times New Roman" w:cstheme="minorHAnsi"/>
          <w:lang w:eastAsia="en-GB"/>
        </w:rPr>
        <w:t xml:space="preserve">and </w:t>
      </w:r>
      <w:r w:rsidR="003279D0" w:rsidRPr="00330272">
        <w:rPr>
          <w:rFonts w:eastAsia="Times New Roman" w:cstheme="minorHAnsi"/>
          <w:lang w:eastAsia="en-GB"/>
        </w:rPr>
        <w:t xml:space="preserve">linguistic </w:t>
      </w:r>
      <w:r w:rsidR="00A23897" w:rsidRPr="00330272">
        <w:rPr>
          <w:rFonts w:eastAsia="Times New Roman" w:cstheme="minorHAnsi"/>
          <w:lang w:eastAsia="en-GB"/>
        </w:rPr>
        <w:t xml:space="preserve">background measures to characterize </w:t>
      </w:r>
      <w:r w:rsidR="003B4865" w:rsidRPr="00330272">
        <w:rPr>
          <w:rFonts w:eastAsia="Times New Roman" w:cstheme="minorHAnsi"/>
          <w:lang w:eastAsia="en-GB"/>
        </w:rPr>
        <w:t>each</w:t>
      </w:r>
      <w:r w:rsidR="00A23897" w:rsidRPr="00330272">
        <w:rPr>
          <w:rFonts w:eastAsia="Times New Roman" w:cstheme="minorHAnsi"/>
          <w:lang w:eastAsia="en-GB"/>
        </w:rPr>
        <w:t xml:space="preserve"> participant. </w:t>
      </w:r>
      <w:r w:rsidR="005E70EB" w:rsidRPr="00330272">
        <w:rPr>
          <w:rFonts w:eastAsia="Times New Roman" w:cstheme="minorHAnsi"/>
          <w:lang w:eastAsia="en-GB"/>
        </w:rPr>
        <w:t xml:space="preserve">This dataset contains the </w:t>
      </w:r>
      <w:r w:rsidR="00CB5B36" w:rsidRPr="00330272">
        <w:rPr>
          <w:rFonts w:eastAsia="Times New Roman" w:cstheme="minorHAnsi"/>
          <w:lang w:eastAsia="en-GB"/>
        </w:rPr>
        <w:t>verbal fluency</w:t>
      </w:r>
      <w:r w:rsidR="00CC4BD5" w:rsidRPr="00330272">
        <w:rPr>
          <w:rFonts w:eastAsia="Times New Roman" w:cstheme="minorHAnsi"/>
          <w:lang w:eastAsia="en-GB"/>
        </w:rPr>
        <w:t xml:space="preserve"> data</w:t>
      </w:r>
      <w:r w:rsidR="005E70EB" w:rsidRPr="00330272">
        <w:rPr>
          <w:rFonts w:eastAsia="Times New Roman" w:cstheme="minorHAnsi"/>
          <w:lang w:eastAsia="en-GB"/>
        </w:rPr>
        <w:t xml:space="preserve"> from </w:t>
      </w:r>
      <w:r w:rsidR="00CB5B36" w:rsidRPr="00330272">
        <w:rPr>
          <w:rFonts w:eastAsia="Calibri" w:cstheme="minorHAnsi"/>
          <w:shd w:val="clear" w:color="auto" w:fill="FFFFFF"/>
        </w:rPr>
        <w:t>8</w:t>
      </w:r>
      <w:r w:rsidR="005E70EB" w:rsidRPr="00330272">
        <w:rPr>
          <w:rFonts w:eastAsia="Calibri" w:cstheme="minorHAnsi"/>
          <w:shd w:val="clear" w:color="auto" w:fill="FFFFFF"/>
        </w:rPr>
        <w:t xml:space="preserve"> Bengali-English bilinguals</w:t>
      </w:r>
      <w:r w:rsidR="00CB5B36" w:rsidRPr="00330272">
        <w:rPr>
          <w:rFonts w:eastAsia="Calibri" w:cstheme="minorHAnsi"/>
          <w:shd w:val="clear" w:color="auto" w:fill="FFFFFF"/>
        </w:rPr>
        <w:t xml:space="preserve"> with aphasia</w:t>
      </w:r>
      <w:r w:rsidR="005E70EB" w:rsidRPr="00330272">
        <w:rPr>
          <w:rFonts w:eastAsia="Calibri" w:cstheme="minorHAnsi"/>
          <w:shd w:val="clear" w:color="auto" w:fill="FFFFFF"/>
        </w:rPr>
        <w:t xml:space="preserve"> and </w:t>
      </w:r>
      <w:r w:rsidR="00CB5B36" w:rsidRPr="00330272">
        <w:rPr>
          <w:rFonts w:eastAsia="Calibri" w:cstheme="minorHAnsi"/>
          <w:shd w:val="clear" w:color="auto" w:fill="FFFFFF"/>
        </w:rPr>
        <w:t>8</w:t>
      </w:r>
      <w:r w:rsidR="005E70EB" w:rsidRPr="00330272">
        <w:rPr>
          <w:rFonts w:eastAsia="Calibri" w:cstheme="minorHAnsi"/>
          <w:shd w:val="clear" w:color="auto" w:fill="FFFFFF"/>
        </w:rPr>
        <w:t xml:space="preserve"> </w:t>
      </w:r>
      <w:r w:rsidR="00CB5B36" w:rsidRPr="00330272">
        <w:rPr>
          <w:rFonts w:eastAsia="Calibri" w:cstheme="minorHAnsi"/>
          <w:shd w:val="clear" w:color="auto" w:fill="FFFFFF"/>
        </w:rPr>
        <w:t>bilingual healthy controls</w:t>
      </w:r>
      <w:r w:rsidR="005E70EB" w:rsidRPr="00330272">
        <w:rPr>
          <w:rFonts w:eastAsia="Calibri" w:cstheme="minorHAnsi"/>
          <w:shd w:val="clear" w:color="auto" w:fill="FFFFFF"/>
        </w:rPr>
        <w:t xml:space="preserve">. </w:t>
      </w:r>
      <w:r w:rsidR="00B30057" w:rsidRPr="00330272">
        <w:rPr>
          <w:rFonts w:eastAsia="Calibri" w:cstheme="minorHAnsi"/>
          <w:shd w:val="clear" w:color="auto" w:fill="FFFFFF"/>
        </w:rPr>
        <w:t>The</w:t>
      </w:r>
      <w:r w:rsidR="00CC4BD5" w:rsidRPr="00330272">
        <w:rPr>
          <w:rFonts w:eastAsia="Calibri" w:cstheme="minorHAnsi"/>
          <w:shd w:val="clear" w:color="auto" w:fill="FFFFFF"/>
        </w:rPr>
        <w:t xml:space="preserve"> data from the</w:t>
      </w:r>
      <w:r w:rsidR="00B30057" w:rsidRPr="00330272">
        <w:rPr>
          <w:rFonts w:eastAsia="Calibri" w:cstheme="minorHAnsi"/>
          <w:shd w:val="clear" w:color="auto" w:fill="FFFFFF"/>
        </w:rPr>
        <w:t xml:space="preserve"> </w:t>
      </w:r>
      <w:r w:rsidR="00CB5B36" w:rsidRPr="00330272">
        <w:rPr>
          <w:rFonts w:eastAsia="Calibri" w:cstheme="minorHAnsi"/>
          <w:shd w:val="clear" w:color="auto" w:fill="FFFFFF"/>
        </w:rPr>
        <w:t>verbal fluency task</w:t>
      </w:r>
      <w:r w:rsidR="00B30057" w:rsidRPr="00330272">
        <w:rPr>
          <w:rFonts w:eastAsia="Calibri" w:cstheme="minorHAnsi"/>
          <w:shd w:val="clear" w:color="auto" w:fill="FFFFFF"/>
        </w:rPr>
        <w:t xml:space="preserve"> was collected using audio recorder, later transcribed orthographically. Demographic information and </w:t>
      </w:r>
      <w:r w:rsidR="003279D0" w:rsidRPr="00330272">
        <w:rPr>
          <w:rFonts w:eastAsia="Calibri" w:cstheme="minorHAnsi"/>
          <w:shd w:val="clear" w:color="auto" w:fill="FFFFFF"/>
        </w:rPr>
        <w:t xml:space="preserve">linguistic </w:t>
      </w:r>
      <w:r w:rsidR="00CB5B36" w:rsidRPr="00330272">
        <w:rPr>
          <w:rFonts w:eastAsia="Calibri" w:cstheme="minorHAnsi"/>
          <w:shd w:val="clear" w:color="auto" w:fill="FFFFFF"/>
        </w:rPr>
        <w:t>background measures</w:t>
      </w:r>
      <w:r w:rsidR="00B30057" w:rsidRPr="00330272">
        <w:rPr>
          <w:rFonts w:eastAsia="Calibri" w:cstheme="minorHAnsi"/>
          <w:shd w:val="clear" w:color="auto" w:fill="FFFFFF"/>
        </w:rPr>
        <w:t xml:space="preserve"> were </w:t>
      </w:r>
      <w:r w:rsidR="00680D6B" w:rsidRPr="00330272">
        <w:rPr>
          <w:rFonts w:eastAsia="Calibri" w:cstheme="minorHAnsi"/>
          <w:shd w:val="clear" w:color="auto" w:fill="FFFFFF"/>
        </w:rPr>
        <w:t xml:space="preserve">collected </w:t>
      </w:r>
      <w:r w:rsidR="00B30057" w:rsidRPr="00330272">
        <w:rPr>
          <w:rFonts w:eastAsia="Calibri" w:cstheme="minorHAnsi"/>
          <w:shd w:val="clear" w:color="auto" w:fill="FFFFFF"/>
        </w:rPr>
        <w:t xml:space="preserve">using paper and pen tasks. Executive control tasks were assessed using </w:t>
      </w:r>
      <w:r w:rsidR="003279D0" w:rsidRPr="00330272">
        <w:rPr>
          <w:rFonts w:eastAsia="Calibri" w:cstheme="minorHAnsi"/>
          <w:shd w:val="clear" w:color="auto" w:fill="FFFFFF"/>
        </w:rPr>
        <w:t xml:space="preserve">paper and pencil task, and/or </w:t>
      </w:r>
      <w:r w:rsidR="00B30057" w:rsidRPr="00330272">
        <w:rPr>
          <w:rFonts w:eastAsia="Calibri" w:cstheme="minorHAnsi"/>
          <w:shd w:val="clear" w:color="auto" w:fill="FFFFFF"/>
        </w:rPr>
        <w:t>computer</w:t>
      </w:r>
      <w:r w:rsidR="00AE7244" w:rsidRPr="00330272">
        <w:rPr>
          <w:rFonts w:eastAsia="Calibri" w:cstheme="minorHAnsi"/>
          <w:shd w:val="clear" w:color="auto" w:fill="FFFFFF"/>
        </w:rPr>
        <w:t>-</w:t>
      </w:r>
      <w:r w:rsidR="00B30057" w:rsidRPr="00330272">
        <w:rPr>
          <w:rFonts w:eastAsia="Calibri" w:cstheme="minorHAnsi"/>
          <w:shd w:val="clear" w:color="auto" w:fill="FFFFFF"/>
        </w:rPr>
        <w:t>based task</w:t>
      </w:r>
      <w:r w:rsidR="00E2436E" w:rsidRPr="00330272">
        <w:rPr>
          <w:rFonts w:eastAsia="Calibri" w:cstheme="minorHAnsi"/>
          <w:shd w:val="clear" w:color="auto" w:fill="FFFFFF"/>
        </w:rPr>
        <w:t>s</w:t>
      </w:r>
      <w:r w:rsidR="003279D0" w:rsidRPr="00330272">
        <w:rPr>
          <w:rFonts w:eastAsia="Calibri" w:cstheme="minorHAnsi"/>
          <w:shd w:val="clear" w:color="auto" w:fill="FFFFFF"/>
        </w:rPr>
        <w:t xml:space="preserve">. The computer tasks </w:t>
      </w:r>
      <w:r w:rsidR="00B30057" w:rsidRPr="00330272">
        <w:rPr>
          <w:rFonts w:eastAsia="Calibri" w:cstheme="minorHAnsi"/>
          <w:shd w:val="clear" w:color="auto" w:fill="FFFFFF"/>
        </w:rPr>
        <w:t>were program</w:t>
      </w:r>
      <w:r w:rsidR="00680D6B" w:rsidRPr="00330272">
        <w:rPr>
          <w:rFonts w:eastAsia="Calibri" w:cstheme="minorHAnsi"/>
          <w:shd w:val="clear" w:color="auto" w:fill="FFFFFF"/>
        </w:rPr>
        <w:t>m</w:t>
      </w:r>
      <w:r w:rsidR="00B30057" w:rsidRPr="00330272">
        <w:rPr>
          <w:rFonts w:eastAsia="Calibri" w:cstheme="minorHAnsi"/>
          <w:shd w:val="clear" w:color="auto" w:fill="FFFFFF"/>
        </w:rPr>
        <w:t xml:space="preserve">ed and delivered using E-Prime. </w:t>
      </w:r>
    </w:p>
    <w:p w14:paraId="13D40949" w14:textId="56B6AFF8" w:rsidR="003F7048" w:rsidRPr="00330272" w:rsidRDefault="003F7048" w:rsidP="00AE7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noProof/>
          <w:shd w:val="clear" w:color="auto" w:fill="FFFFFF"/>
        </w:rPr>
      </w:pPr>
    </w:p>
    <w:p w14:paraId="16881D5C" w14:textId="32179A0E" w:rsidR="003C1F9F" w:rsidRPr="00330272" w:rsidRDefault="00A23897" w:rsidP="00A2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Calibri" w:cstheme="minorHAnsi"/>
          <w:noProof/>
          <w:shd w:val="clear" w:color="auto" w:fill="FFFFFF"/>
        </w:rPr>
        <w:t>These data could be used by future researchers to answer their specific question</w:t>
      </w:r>
      <w:r w:rsidR="00680D6B" w:rsidRPr="00330272">
        <w:rPr>
          <w:rFonts w:eastAsia="Calibri" w:cstheme="minorHAnsi"/>
          <w:noProof/>
          <w:shd w:val="clear" w:color="auto" w:fill="FFFFFF"/>
        </w:rPr>
        <w:t>s</w:t>
      </w:r>
      <w:r w:rsidRPr="00330272">
        <w:rPr>
          <w:rFonts w:eastAsia="Calibri" w:cstheme="minorHAnsi"/>
          <w:noProof/>
          <w:shd w:val="clear" w:color="auto" w:fill="FFFFFF"/>
        </w:rPr>
        <w:t xml:space="preserve"> </w:t>
      </w:r>
      <w:r w:rsidR="003B4865" w:rsidRPr="00330272">
        <w:rPr>
          <w:rFonts w:eastAsia="Calibri" w:cstheme="minorHAnsi"/>
          <w:noProof/>
          <w:shd w:val="clear" w:color="auto" w:fill="FFFFFF"/>
        </w:rPr>
        <w:t xml:space="preserve">regarding </w:t>
      </w:r>
      <w:r w:rsidR="00CB5B36" w:rsidRPr="00330272">
        <w:rPr>
          <w:rFonts w:eastAsia="Calibri" w:cstheme="minorHAnsi"/>
          <w:noProof/>
          <w:shd w:val="clear" w:color="auto" w:fill="FFFFFF"/>
        </w:rPr>
        <w:t>the lexical and cognitive underpinnings of verbal fluency performance in bilinguals with aphasia population</w:t>
      </w:r>
      <w:r w:rsidRPr="00330272">
        <w:rPr>
          <w:rFonts w:eastAsia="Calibri" w:cstheme="minorHAnsi"/>
          <w:noProof/>
          <w:shd w:val="clear" w:color="auto" w:fill="FFFFFF"/>
        </w:rPr>
        <w:t xml:space="preserve">. </w:t>
      </w:r>
    </w:p>
    <w:p w14:paraId="7EDB146E" w14:textId="77777777" w:rsidR="00A23897" w:rsidRPr="00330272" w:rsidRDefault="00A23897"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1626DF0F" w14:textId="10A93970" w:rsidR="003C1F9F" w:rsidRDefault="00AD1BF1"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Pr>
          <w:rFonts w:eastAsia="Times New Roman" w:cstheme="minorHAnsi"/>
          <w:lang w:eastAsia="en-GB"/>
        </w:rPr>
        <w:t xml:space="preserve">This data is reported in the published </w:t>
      </w:r>
      <w:r w:rsidR="006202F2">
        <w:rPr>
          <w:rFonts w:eastAsia="Times New Roman" w:cstheme="minorHAnsi"/>
          <w:lang w:eastAsia="en-GB"/>
        </w:rPr>
        <w:t>article</w:t>
      </w:r>
      <w:r>
        <w:rPr>
          <w:rFonts w:eastAsia="Times New Roman" w:cstheme="minorHAnsi"/>
          <w:lang w:eastAsia="en-GB"/>
        </w:rPr>
        <w:t>:</w:t>
      </w:r>
    </w:p>
    <w:p w14:paraId="0D161AB6" w14:textId="240B6740" w:rsidR="00AD1BF1" w:rsidRDefault="00AD1BF1"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6484BF64" w14:textId="286399C5" w:rsidR="00AD1BF1" w:rsidRDefault="003D5C07"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8" w:history="1">
        <w:r w:rsidR="00AD1BF1">
          <w:rPr>
            <w:rStyle w:val="personname"/>
            <w:color w:val="0000FF"/>
            <w:u w:val="single"/>
          </w:rPr>
          <w:t>Patra, A.</w:t>
        </w:r>
        <w:r w:rsidR="00AD1BF1">
          <w:rPr>
            <w:rStyle w:val="Hyperlink"/>
          </w:rPr>
          <w:t xml:space="preserve"> </w:t>
        </w:r>
      </w:hyperlink>
      <w:r w:rsidR="00AD1BF1">
        <w:t xml:space="preserve">, </w:t>
      </w:r>
      <w:hyperlink r:id="rId9" w:history="1">
        <w:r w:rsidR="00AD1BF1">
          <w:rPr>
            <w:rStyle w:val="personname"/>
            <w:color w:val="0000FF"/>
            <w:u w:val="single"/>
          </w:rPr>
          <w:t>Bose, A.</w:t>
        </w:r>
        <w:r w:rsidR="00AD1BF1">
          <w:rPr>
            <w:rStyle w:val="Hyperlink"/>
          </w:rPr>
          <w:t xml:space="preserve"> </w:t>
        </w:r>
      </w:hyperlink>
      <w:r w:rsidR="00AD1BF1">
        <w:t xml:space="preserve">and </w:t>
      </w:r>
      <w:hyperlink r:id="rId10" w:history="1">
        <w:r w:rsidR="00AD1BF1">
          <w:rPr>
            <w:rStyle w:val="personname"/>
            <w:color w:val="0000FF"/>
            <w:u w:val="single"/>
          </w:rPr>
          <w:t>Marinis, T.</w:t>
        </w:r>
        <w:r w:rsidR="00AD1BF1">
          <w:rPr>
            <w:rStyle w:val="Hyperlink"/>
          </w:rPr>
          <w:t xml:space="preserve"> </w:t>
        </w:r>
      </w:hyperlink>
      <w:r w:rsidR="00AD1BF1">
        <w:t xml:space="preserve">(2020) </w:t>
      </w:r>
      <w:hyperlink r:id="rId11" w:history="1">
        <w:r w:rsidR="00AD1BF1">
          <w:rPr>
            <w:rStyle w:val="Emphasis"/>
            <w:color w:val="0000FF"/>
            <w:u w:val="single"/>
          </w:rPr>
          <w:t>Lexical and cognitive underpinnings of verbal fluency: evidence from Bengali-English bilingual aphasia.</w:t>
        </w:r>
        <w:r w:rsidR="00AD1BF1">
          <w:rPr>
            <w:rStyle w:val="Hyperlink"/>
          </w:rPr>
          <w:t xml:space="preserve"> </w:t>
        </w:r>
      </w:hyperlink>
      <w:proofErr w:type="spellStart"/>
      <w:r w:rsidR="00AD1BF1">
        <w:t>Behavioral</w:t>
      </w:r>
      <w:proofErr w:type="spellEnd"/>
      <w:r w:rsidR="00AD1BF1">
        <w:t xml:space="preserve"> Sciences, 10 (10). 155. ISSN 2076-328X </w:t>
      </w:r>
      <w:proofErr w:type="spellStart"/>
      <w:r w:rsidR="00AD1BF1">
        <w:t>doi</w:t>
      </w:r>
      <w:proofErr w:type="spellEnd"/>
      <w:r w:rsidR="00AD1BF1">
        <w:t xml:space="preserve">: </w:t>
      </w:r>
      <w:hyperlink r:id="rId12" w:tgtFrame="_blank" w:history="1">
        <w:r w:rsidR="00AD1BF1">
          <w:rPr>
            <w:rStyle w:val="Hyperlink"/>
          </w:rPr>
          <w:t>https://doi.org/10.3390/bs10100155</w:t>
        </w:r>
      </w:hyperlink>
    </w:p>
    <w:p w14:paraId="100EE712" w14:textId="77777777" w:rsidR="00AD1BF1" w:rsidRPr="00330272" w:rsidRDefault="00AD1BF1"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6C4806C8" w14:textId="3DAED216" w:rsidR="003C1F9F" w:rsidRPr="00330272" w:rsidRDefault="004D694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 xml:space="preserve">Creators: </w:t>
      </w:r>
      <w:r w:rsidR="000031CA" w:rsidRPr="00330272">
        <w:rPr>
          <w:rFonts w:eastAsia="Times New Roman" w:cstheme="minorHAnsi"/>
          <w:lang w:eastAsia="en-GB"/>
        </w:rPr>
        <w:t>Abhijeet Patra</w:t>
      </w:r>
      <w:r w:rsidRPr="00330272">
        <w:rPr>
          <w:rFonts w:eastAsia="Times New Roman" w:cstheme="minorHAnsi"/>
          <w:lang w:eastAsia="en-GB"/>
        </w:rPr>
        <w:t xml:space="preserve">, </w:t>
      </w:r>
      <w:r w:rsidR="000031CA" w:rsidRPr="00330272">
        <w:rPr>
          <w:rFonts w:eastAsia="Times New Roman" w:cstheme="minorHAnsi"/>
          <w:lang w:eastAsia="en-GB"/>
        </w:rPr>
        <w:t>Arpita Bose</w:t>
      </w:r>
      <w:r w:rsidRPr="00330272">
        <w:rPr>
          <w:rFonts w:eastAsia="Times New Roman" w:cstheme="minorHAnsi"/>
          <w:lang w:eastAsia="en-GB"/>
        </w:rPr>
        <w:t xml:space="preserve"> and Theodoros Marinis</w:t>
      </w:r>
      <w:r w:rsidR="000031CA" w:rsidRPr="00330272">
        <w:rPr>
          <w:rFonts w:eastAsia="Times New Roman" w:cstheme="minorHAnsi"/>
          <w:lang w:eastAsia="en-GB"/>
        </w:rPr>
        <w:t>, University of Reading</w:t>
      </w:r>
    </w:p>
    <w:p w14:paraId="223919AC" w14:textId="68445C0E"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 xml:space="preserve">Organisation: </w:t>
      </w:r>
      <w:r w:rsidR="000031CA" w:rsidRPr="00330272">
        <w:rPr>
          <w:rFonts w:eastAsia="Times New Roman" w:cstheme="minorHAnsi"/>
          <w:lang w:eastAsia="en-GB"/>
        </w:rPr>
        <w:t>University of Reading</w:t>
      </w:r>
    </w:p>
    <w:p w14:paraId="039AAE6F" w14:textId="515D70C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Rights-holder:</w:t>
      </w:r>
      <w:r w:rsidR="000031CA" w:rsidRPr="00330272">
        <w:rPr>
          <w:rFonts w:eastAsia="Times New Roman" w:cstheme="minorHAnsi"/>
          <w:lang w:eastAsia="en-GB"/>
        </w:rPr>
        <w:t xml:space="preserve"> </w:t>
      </w:r>
      <w:r w:rsidR="00BD0065" w:rsidRPr="00330272">
        <w:rPr>
          <w:rFonts w:eastAsia="Times New Roman" w:cstheme="minorHAnsi"/>
          <w:lang w:eastAsia="en-GB"/>
        </w:rPr>
        <w:t>Abhijeet Patra, University of Reading</w:t>
      </w:r>
    </w:p>
    <w:p w14:paraId="60228EB8"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0AA95684"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1D68BB87"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3. TERMS OF USE</w:t>
      </w:r>
    </w:p>
    <w:p w14:paraId="55EEFF03"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w:t>
      </w:r>
    </w:p>
    <w:p w14:paraId="4CB9EF2E"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33C681D6" w14:textId="39B66131" w:rsidR="003C1F9F" w:rsidRPr="00330272" w:rsidRDefault="00F14464"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Copyright 20</w:t>
      </w:r>
      <w:r w:rsidR="00CC4BD5" w:rsidRPr="00330272">
        <w:rPr>
          <w:rFonts w:eastAsia="Times New Roman" w:cstheme="minorHAnsi"/>
          <w:lang w:eastAsia="en-GB"/>
        </w:rPr>
        <w:t>20</w:t>
      </w:r>
      <w:r w:rsidRPr="00330272">
        <w:rPr>
          <w:rFonts w:eastAsia="Times New Roman" w:cstheme="minorHAnsi"/>
          <w:lang w:eastAsia="en-GB"/>
        </w:rPr>
        <w:t xml:space="preserve"> Abhijeet Patra, University of Reading. This dataset is licensed by the rights-holders under a Creative Commons Attribution 4.0 International Licence: </w:t>
      </w:r>
      <w:hyperlink r:id="rId13" w:history="1">
        <w:r w:rsidR="00296FA6" w:rsidRPr="00330272">
          <w:rPr>
            <w:rStyle w:val="Hyperlink"/>
            <w:rFonts w:eastAsia="Times New Roman" w:cstheme="minorHAnsi"/>
            <w:lang w:eastAsia="en-GB"/>
          </w:rPr>
          <w:t>https://creativecommons.org/licenses/by/4.0/</w:t>
        </w:r>
      </w:hyperlink>
      <w:r w:rsidRPr="00330272">
        <w:rPr>
          <w:rFonts w:eastAsia="Times New Roman" w:cstheme="minorHAnsi"/>
          <w:lang w:eastAsia="en-GB"/>
        </w:rPr>
        <w:t>.</w:t>
      </w:r>
    </w:p>
    <w:p w14:paraId="52061B5B" w14:textId="77777777" w:rsidR="00296FA6" w:rsidRPr="00330272" w:rsidRDefault="00296FA6"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616FB938" w14:textId="77777777" w:rsidR="003C1F9F" w:rsidRPr="00330272" w:rsidRDefault="003C1F9F" w:rsidP="003C1F9F">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4. CONTENTS</w:t>
      </w:r>
    </w:p>
    <w:p w14:paraId="4201243F" w14:textId="2707884A" w:rsidR="00296FA6" w:rsidRPr="00330272" w:rsidRDefault="00296FA6"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1F773F47" w14:textId="3C3DD7F8" w:rsidR="005E7680" w:rsidRPr="00330272" w:rsidRDefault="005E7680" w:rsidP="005E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The dataset consists</w:t>
      </w:r>
      <w:r w:rsidR="00296FA6" w:rsidRPr="00330272">
        <w:rPr>
          <w:rFonts w:eastAsia="Times New Roman" w:cstheme="minorHAnsi"/>
          <w:lang w:eastAsia="en-GB"/>
        </w:rPr>
        <w:t xml:space="preserve"> of</w:t>
      </w:r>
      <w:r w:rsidRPr="00330272">
        <w:rPr>
          <w:rFonts w:eastAsia="Times New Roman" w:cstheme="minorHAnsi"/>
          <w:lang w:eastAsia="en-GB"/>
        </w:rPr>
        <w:t xml:space="preserve"> </w:t>
      </w:r>
      <w:r w:rsidR="00180FD2" w:rsidRPr="00330272">
        <w:rPr>
          <w:rFonts w:eastAsia="Times New Roman" w:cstheme="minorHAnsi"/>
          <w:lang w:eastAsia="en-GB"/>
        </w:rPr>
        <w:t xml:space="preserve">datasheets detailed below, </w:t>
      </w:r>
      <w:r w:rsidRPr="00330272">
        <w:rPr>
          <w:rFonts w:eastAsia="Times New Roman" w:cstheme="minorHAnsi"/>
          <w:lang w:eastAsia="en-GB"/>
        </w:rPr>
        <w:t xml:space="preserve">with </w:t>
      </w:r>
      <w:r w:rsidR="00180FD2" w:rsidRPr="00330272">
        <w:rPr>
          <w:rFonts w:eastAsia="Times New Roman" w:cstheme="minorHAnsi"/>
          <w:lang w:eastAsia="en-GB"/>
        </w:rPr>
        <w:t xml:space="preserve">their </w:t>
      </w:r>
      <w:r w:rsidRPr="00330272">
        <w:rPr>
          <w:rFonts w:eastAsia="Times New Roman" w:cstheme="minorHAnsi"/>
          <w:lang w:eastAsia="en-GB"/>
        </w:rPr>
        <w:t xml:space="preserve">contents: </w:t>
      </w:r>
    </w:p>
    <w:p w14:paraId="3CC354F2" w14:textId="77777777" w:rsidR="005E7680" w:rsidRPr="00330272" w:rsidRDefault="005E7680" w:rsidP="005E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71578DBB" w14:textId="2B930948" w:rsidR="00AA59EB" w:rsidRPr="00330272" w:rsidRDefault="00602D19" w:rsidP="00E50B0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noProof/>
          <w:shd w:val="clear" w:color="auto" w:fill="FFFFFF"/>
        </w:rPr>
      </w:pPr>
      <w:r w:rsidRPr="00330272">
        <w:rPr>
          <w:rFonts w:eastAsia="Calibri" w:cstheme="minorHAnsi"/>
          <w:noProof/>
          <w:shd w:val="clear" w:color="auto" w:fill="FFFFFF"/>
        </w:rPr>
        <w:t>&lt;</w:t>
      </w:r>
      <w:r w:rsidR="006439DF" w:rsidRPr="00330272">
        <w:rPr>
          <w:rFonts w:eastAsia="Calibri" w:cstheme="minorHAnsi"/>
          <w:noProof/>
          <w:shd w:val="clear" w:color="auto" w:fill="FFFFFF"/>
        </w:rPr>
        <w:t>M</w:t>
      </w:r>
      <w:r w:rsidR="00AE7244" w:rsidRPr="00330272">
        <w:rPr>
          <w:rFonts w:eastAsia="Calibri" w:cstheme="minorHAnsi"/>
          <w:noProof/>
          <w:shd w:val="clear" w:color="auto" w:fill="FFFFFF"/>
        </w:rPr>
        <w:t>eans</w:t>
      </w:r>
      <w:r w:rsidRPr="00330272">
        <w:rPr>
          <w:rFonts w:eastAsia="Calibri" w:cstheme="minorHAnsi"/>
          <w:noProof/>
          <w:shd w:val="clear" w:color="auto" w:fill="FFFFFF"/>
        </w:rPr>
        <w:t>&gt;</w:t>
      </w:r>
      <w:r w:rsidR="007D40A5" w:rsidRPr="00330272">
        <w:rPr>
          <w:rFonts w:eastAsia="Calibri" w:cstheme="minorHAnsi"/>
          <w:noProof/>
          <w:shd w:val="clear" w:color="auto" w:fill="FFFFFF"/>
        </w:rPr>
        <w:t>: C</w:t>
      </w:r>
      <w:r w:rsidRPr="00330272">
        <w:rPr>
          <w:rFonts w:eastAsia="Calibri" w:cstheme="minorHAnsi"/>
          <w:noProof/>
          <w:shd w:val="clear" w:color="auto" w:fill="FFFFFF"/>
        </w:rPr>
        <w:t>ontains individual level de</w:t>
      </w:r>
      <w:r w:rsidR="005E7680" w:rsidRPr="00330272">
        <w:rPr>
          <w:rFonts w:eastAsia="Calibri" w:cstheme="minorHAnsi"/>
          <w:noProof/>
          <w:shd w:val="clear" w:color="auto" w:fill="FFFFFF"/>
        </w:rPr>
        <w:t>mographic details for each participant (age, sex, education)</w:t>
      </w:r>
      <w:r w:rsidRPr="00330272">
        <w:rPr>
          <w:rFonts w:eastAsia="Calibri" w:cstheme="minorHAnsi"/>
          <w:noProof/>
          <w:shd w:val="clear" w:color="auto" w:fill="FFFFFF"/>
        </w:rPr>
        <w:t xml:space="preserve">; </w:t>
      </w:r>
      <w:r w:rsidR="001E1CC6" w:rsidRPr="00330272">
        <w:rPr>
          <w:rFonts w:eastAsia="Calibri" w:cstheme="minorHAnsi"/>
          <w:noProof/>
          <w:shd w:val="clear" w:color="auto" w:fill="FFFFFF"/>
        </w:rPr>
        <w:t xml:space="preserve">aphasia type and severity for participants with aphasia; </w:t>
      </w:r>
      <w:r w:rsidR="005A539B" w:rsidRPr="00330272">
        <w:rPr>
          <w:rFonts w:eastAsia="Calibri" w:cstheme="minorHAnsi"/>
          <w:noProof/>
          <w:shd w:val="clear" w:color="auto" w:fill="FFFFFF"/>
        </w:rPr>
        <w:t xml:space="preserve">bilingual </w:t>
      </w:r>
      <w:r w:rsidR="00CB5B36" w:rsidRPr="00330272">
        <w:rPr>
          <w:rFonts w:eastAsia="Calibri" w:cstheme="minorHAnsi"/>
          <w:noProof/>
          <w:shd w:val="clear" w:color="auto" w:fill="FFFFFF"/>
        </w:rPr>
        <w:t>language</w:t>
      </w:r>
      <w:r w:rsidR="005E7680" w:rsidRPr="00330272">
        <w:rPr>
          <w:rFonts w:eastAsia="Calibri" w:cstheme="minorHAnsi"/>
          <w:noProof/>
          <w:shd w:val="clear" w:color="auto" w:fill="FFFFFF"/>
        </w:rPr>
        <w:t xml:space="preserve"> </w:t>
      </w:r>
      <w:r w:rsidR="005E7680" w:rsidRPr="00330272">
        <w:rPr>
          <w:rFonts w:eastAsia="Calibri" w:cstheme="minorHAnsi"/>
          <w:noProof/>
          <w:shd w:val="clear" w:color="auto" w:fill="FFFFFF"/>
        </w:rPr>
        <w:lastRenderedPageBreak/>
        <w:t>background measures</w:t>
      </w:r>
      <w:r w:rsidR="00CB5B36" w:rsidRPr="00330272">
        <w:rPr>
          <w:rFonts w:eastAsia="Calibri" w:cstheme="minorHAnsi"/>
          <w:noProof/>
          <w:shd w:val="clear" w:color="auto" w:fill="FFFFFF"/>
        </w:rPr>
        <w:t xml:space="preserve"> (language acquisition history, language use, language dominance, language proficiency, instruction of education)</w:t>
      </w:r>
      <w:r w:rsidRPr="00330272">
        <w:rPr>
          <w:rFonts w:eastAsia="Calibri" w:cstheme="minorHAnsi"/>
          <w:noProof/>
          <w:shd w:val="clear" w:color="auto" w:fill="FFFFFF"/>
        </w:rPr>
        <w:t xml:space="preserve">; performance on </w:t>
      </w:r>
      <w:r w:rsidR="005E7680" w:rsidRPr="00330272">
        <w:rPr>
          <w:rFonts w:eastAsia="Calibri" w:cstheme="minorHAnsi"/>
          <w:noProof/>
          <w:shd w:val="clear" w:color="auto" w:fill="FFFFFF"/>
        </w:rPr>
        <w:t xml:space="preserve">executive control tasks (Stroop, </w:t>
      </w:r>
      <w:r w:rsidR="00CB5B36" w:rsidRPr="00330272">
        <w:rPr>
          <w:rFonts w:eastAsia="Calibri" w:cstheme="minorHAnsi"/>
          <w:noProof/>
          <w:shd w:val="clear" w:color="auto" w:fill="FFFFFF"/>
        </w:rPr>
        <w:t>Trail Making Test</w:t>
      </w:r>
      <w:r w:rsidR="005E7680" w:rsidRPr="00330272">
        <w:rPr>
          <w:rFonts w:eastAsia="Calibri" w:cstheme="minorHAnsi"/>
          <w:noProof/>
          <w:shd w:val="clear" w:color="auto" w:fill="FFFFFF"/>
        </w:rPr>
        <w:t>, and backward digit span)</w:t>
      </w:r>
      <w:r w:rsidRPr="00330272">
        <w:rPr>
          <w:rFonts w:eastAsia="Calibri" w:cstheme="minorHAnsi"/>
          <w:noProof/>
          <w:shd w:val="clear" w:color="auto" w:fill="FFFFFF"/>
        </w:rPr>
        <w:t xml:space="preserve">, and mean performance across </w:t>
      </w:r>
      <w:r w:rsidR="00CB5B36" w:rsidRPr="00330272">
        <w:rPr>
          <w:rFonts w:eastAsia="Calibri" w:cstheme="minorHAnsi"/>
          <w:noProof/>
          <w:shd w:val="clear" w:color="auto" w:fill="FFFFFF"/>
        </w:rPr>
        <w:t>different verbal fluency variables</w:t>
      </w:r>
      <w:r w:rsidR="00AA59EB" w:rsidRPr="00330272">
        <w:rPr>
          <w:rFonts w:eastAsia="Calibri" w:cstheme="minorHAnsi"/>
          <w:noProof/>
          <w:shd w:val="clear" w:color="auto" w:fill="FFFFFF"/>
        </w:rPr>
        <w:t>.</w:t>
      </w:r>
    </w:p>
    <w:p w14:paraId="449010DE" w14:textId="5B6EAAB7" w:rsidR="00602D19" w:rsidRPr="00330272" w:rsidRDefault="00602D19" w:rsidP="00E50B0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6"/>
        <w:rPr>
          <w:rFonts w:eastAsia="Calibri" w:cstheme="minorHAnsi"/>
          <w:noProof/>
          <w:shd w:val="clear" w:color="auto" w:fill="FFFFFF"/>
        </w:rPr>
      </w:pPr>
    </w:p>
    <w:p w14:paraId="60A16958" w14:textId="0F9806E2" w:rsidR="00ED229F" w:rsidRPr="00330272" w:rsidRDefault="00E50B0A" w:rsidP="00E50B0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noProof/>
          <w:shd w:val="clear" w:color="auto" w:fill="FFFFFF"/>
        </w:rPr>
      </w:pPr>
      <w:r w:rsidRPr="00330272">
        <w:rPr>
          <w:rFonts w:eastAsia="Calibri" w:cstheme="minorHAnsi"/>
          <w:noProof/>
          <w:shd w:val="clear" w:color="auto" w:fill="FFFFFF"/>
        </w:rPr>
        <w:t>&lt;</w:t>
      </w:r>
      <w:r w:rsidR="006439DF" w:rsidRPr="00330272">
        <w:rPr>
          <w:rFonts w:eastAsia="Calibri" w:cstheme="minorHAnsi"/>
          <w:noProof/>
          <w:shd w:val="clear" w:color="auto" w:fill="FFFFFF"/>
        </w:rPr>
        <w:t>M</w:t>
      </w:r>
      <w:r w:rsidR="00AE7244" w:rsidRPr="00330272">
        <w:rPr>
          <w:rFonts w:eastAsia="Calibri" w:cstheme="minorHAnsi"/>
          <w:noProof/>
          <w:shd w:val="clear" w:color="auto" w:fill="FFFFFF"/>
        </w:rPr>
        <w:t>eans-codes</w:t>
      </w:r>
      <w:r w:rsidRPr="00330272">
        <w:rPr>
          <w:rFonts w:eastAsia="Calibri" w:cstheme="minorHAnsi"/>
          <w:noProof/>
          <w:shd w:val="clear" w:color="auto" w:fill="FFFFFF"/>
        </w:rPr>
        <w:t xml:space="preserve">&gt;: </w:t>
      </w:r>
      <w:r w:rsidR="007D40A5" w:rsidRPr="00330272">
        <w:rPr>
          <w:rFonts w:eastAsia="Calibri" w:cstheme="minorHAnsi"/>
          <w:noProof/>
          <w:shd w:val="clear" w:color="auto" w:fill="FFFFFF"/>
        </w:rPr>
        <w:t>Contains the codes for each of the variables (i.e., columns) included in &lt;</w:t>
      </w:r>
      <w:r w:rsidR="006439DF" w:rsidRPr="00330272">
        <w:rPr>
          <w:rFonts w:eastAsia="Calibri" w:cstheme="minorHAnsi"/>
          <w:noProof/>
          <w:shd w:val="clear" w:color="auto" w:fill="FFFFFF"/>
        </w:rPr>
        <w:t>M</w:t>
      </w:r>
      <w:r w:rsidR="00AE7244" w:rsidRPr="00330272">
        <w:rPr>
          <w:rFonts w:eastAsia="Calibri" w:cstheme="minorHAnsi"/>
          <w:noProof/>
          <w:shd w:val="clear" w:color="auto" w:fill="FFFFFF"/>
        </w:rPr>
        <w:t>eans</w:t>
      </w:r>
      <w:r w:rsidR="007D40A5" w:rsidRPr="00330272">
        <w:rPr>
          <w:rFonts w:eastAsia="Calibri" w:cstheme="minorHAnsi"/>
          <w:noProof/>
          <w:shd w:val="clear" w:color="auto" w:fill="FFFFFF"/>
        </w:rPr>
        <w:t>&gt;</w:t>
      </w:r>
      <w:r w:rsidR="002C7455" w:rsidRPr="00330272">
        <w:rPr>
          <w:rFonts w:eastAsia="Calibri" w:cstheme="minorHAnsi"/>
          <w:noProof/>
          <w:shd w:val="clear" w:color="auto" w:fill="FFFFFF"/>
        </w:rPr>
        <w:t>.</w:t>
      </w:r>
    </w:p>
    <w:p w14:paraId="6BE62BBA" w14:textId="175624EC" w:rsidR="00ED229F" w:rsidRPr="00330272" w:rsidRDefault="00ED229F" w:rsidP="00CC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heme="minorHAnsi"/>
          <w:noProof/>
          <w:shd w:val="clear" w:color="auto" w:fill="FFFFFF"/>
        </w:rPr>
      </w:pPr>
    </w:p>
    <w:p w14:paraId="3B22BF34" w14:textId="7857BAD6" w:rsidR="00ED229F" w:rsidRPr="00330272" w:rsidRDefault="00ED229F" w:rsidP="00E50B0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Calibri" w:cstheme="minorHAnsi"/>
          <w:noProof/>
          <w:shd w:val="clear" w:color="auto" w:fill="FFFFFF"/>
        </w:rPr>
        <w:t>&lt;</w:t>
      </w:r>
      <w:r w:rsidR="00CB5B36" w:rsidRPr="00330272">
        <w:rPr>
          <w:rFonts w:eastAsia="Calibri" w:cstheme="minorHAnsi"/>
          <w:noProof/>
          <w:shd w:val="clear" w:color="auto" w:fill="FFFFFF"/>
        </w:rPr>
        <w:t>Verbalfluency&gt;</w:t>
      </w:r>
      <w:r w:rsidR="00712E64" w:rsidRPr="00330272">
        <w:rPr>
          <w:rFonts w:eastAsia="Calibri" w:cstheme="minorHAnsi"/>
          <w:noProof/>
          <w:shd w:val="clear" w:color="auto" w:fill="FFFFFF"/>
        </w:rPr>
        <w:t xml:space="preserve">: </w:t>
      </w:r>
      <w:r w:rsidRPr="00330272">
        <w:rPr>
          <w:rFonts w:eastAsia="Calibri" w:cstheme="minorHAnsi"/>
          <w:noProof/>
          <w:shd w:val="clear" w:color="auto" w:fill="FFFFFF"/>
        </w:rPr>
        <w:t xml:space="preserve">Contains </w:t>
      </w:r>
      <w:r w:rsidR="00CB5B36" w:rsidRPr="00330272">
        <w:rPr>
          <w:rFonts w:eastAsia="Calibri" w:cstheme="minorHAnsi"/>
          <w:noProof/>
          <w:shd w:val="clear" w:color="auto" w:fill="FFFFFF"/>
        </w:rPr>
        <w:t>verbal fluency</w:t>
      </w:r>
      <w:r w:rsidRPr="00330272">
        <w:rPr>
          <w:rFonts w:eastAsia="Calibri" w:cstheme="minorHAnsi"/>
          <w:noProof/>
          <w:shd w:val="clear" w:color="auto" w:fill="FFFFFF"/>
        </w:rPr>
        <w:t xml:space="preserve"> data for each </w:t>
      </w:r>
      <w:r w:rsidR="00CB5B36" w:rsidRPr="00330272">
        <w:rPr>
          <w:rFonts w:eastAsia="Calibri" w:cstheme="minorHAnsi"/>
          <w:noProof/>
          <w:shd w:val="clear" w:color="auto" w:fill="FFFFFF"/>
        </w:rPr>
        <w:t>condition</w:t>
      </w:r>
      <w:r w:rsidRPr="00330272">
        <w:rPr>
          <w:rFonts w:eastAsia="Calibri" w:cstheme="minorHAnsi"/>
          <w:noProof/>
          <w:shd w:val="clear" w:color="auto" w:fill="FFFFFF"/>
        </w:rPr>
        <w:t xml:space="preserve"> for every </w:t>
      </w:r>
      <w:r w:rsidR="0064599C">
        <w:rPr>
          <w:rFonts w:eastAsia="Calibri" w:cstheme="minorHAnsi"/>
          <w:noProof/>
          <w:shd w:val="clear" w:color="auto" w:fill="FFFFFF"/>
        </w:rPr>
        <w:t>trial</w:t>
      </w:r>
      <w:r w:rsidR="00CB6376">
        <w:rPr>
          <w:rFonts w:eastAsia="Calibri" w:cstheme="minorHAnsi"/>
          <w:noProof/>
          <w:shd w:val="clear" w:color="auto" w:fill="FFFFFF"/>
        </w:rPr>
        <w:t xml:space="preserve"> </w:t>
      </w:r>
      <w:r w:rsidRPr="00330272">
        <w:rPr>
          <w:rFonts w:eastAsia="Calibri" w:cstheme="minorHAnsi"/>
          <w:noProof/>
          <w:shd w:val="clear" w:color="auto" w:fill="FFFFFF"/>
        </w:rPr>
        <w:t>for each individual participant</w:t>
      </w:r>
      <w:r w:rsidR="00CB5B36" w:rsidRPr="00330272">
        <w:rPr>
          <w:rFonts w:eastAsia="Calibri" w:cstheme="minorHAnsi"/>
          <w:noProof/>
          <w:shd w:val="clear" w:color="auto" w:fill="FFFFFF"/>
        </w:rPr>
        <w:t xml:space="preserve"> in each language</w:t>
      </w:r>
      <w:r w:rsidR="002C7455" w:rsidRPr="00330272">
        <w:rPr>
          <w:rFonts w:eastAsia="Calibri" w:cstheme="minorHAnsi"/>
          <w:noProof/>
          <w:shd w:val="clear" w:color="auto" w:fill="FFFFFF"/>
        </w:rPr>
        <w:t>.</w:t>
      </w:r>
      <w:r w:rsidRPr="00330272">
        <w:rPr>
          <w:rFonts w:eastAsia="Calibri" w:cstheme="minorHAnsi"/>
          <w:noProof/>
          <w:shd w:val="clear" w:color="auto" w:fill="FFFFFF"/>
        </w:rPr>
        <w:t xml:space="preserve"> </w:t>
      </w:r>
    </w:p>
    <w:p w14:paraId="3F0E0BB4" w14:textId="77777777" w:rsidR="00ED229F" w:rsidRPr="00330272" w:rsidRDefault="00ED229F" w:rsidP="00ED229F">
      <w:pPr>
        <w:pStyle w:val="ListParagraph"/>
        <w:rPr>
          <w:rFonts w:eastAsia="Calibri" w:cstheme="minorHAnsi"/>
          <w:noProof/>
          <w:shd w:val="clear" w:color="auto" w:fill="FFFFFF"/>
        </w:rPr>
      </w:pPr>
    </w:p>
    <w:p w14:paraId="61E36209" w14:textId="2F834C88" w:rsidR="00ED229F" w:rsidRPr="00330272" w:rsidRDefault="00ED229F" w:rsidP="00E50B0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Calibri" w:cstheme="minorHAnsi"/>
          <w:noProof/>
          <w:shd w:val="clear" w:color="auto" w:fill="FFFFFF"/>
        </w:rPr>
        <w:t>&lt;</w:t>
      </w:r>
      <w:r w:rsidR="00CB5B36" w:rsidRPr="00330272">
        <w:rPr>
          <w:rFonts w:eastAsia="Calibri" w:cstheme="minorHAnsi"/>
          <w:noProof/>
          <w:shd w:val="clear" w:color="auto" w:fill="FFFFFF"/>
        </w:rPr>
        <w:t>Verbalfluency</w:t>
      </w:r>
      <w:r w:rsidR="00AE7244" w:rsidRPr="00330272">
        <w:rPr>
          <w:rFonts w:eastAsia="Calibri" w:cstheme="minorHAnsi"/>
          <w:noProof/>
          <w:shd w:val="clear" w:color="auto" w:fill="FFFFFF"/>
        </w:rPr>
        <w:t>-codes</w:t>
      </w:r>
      <w:r w:rsidRPr="00330272">
        <w:rPr>
          <w:rFonts w:eastAsia="Calibri" w:cstheme="minorHAnsi"/>
          <w:noProof/>
          <w:shd w:val="clear" w:color="auto" w:fill="FFFFFF"/>
        </w:rPr>
        <w:t>&gt;: Contains the codes for each of the variable (i.e., columns) included in &lt;</w:t>
      </w:r>
      <w:r w:rsidR="00B55F29">
        <w:rPr>
          <w:rFonts w:eastAsia="Calibri" w:cstheme="minorHAnsi"/>
          <w:noProof/>
          <w:shd w:val="clear" w:color="auto" w:fill="FFFFFF"/>
        </w:rPr>
        <w:t>Verbalfluency</w:t>
      </w:r>
      <w:r w:rsidRPr="00330272">
        <w:rPr>
          <w:rFonts w:eastAsia="Calibri" w:cstheme="minorHAnsi"/>
          <w:noProof/>
          <w:shd w:val="clear" w:color="auto" w:fill="FFFFFF"/>
        </w:rPr>
        <w:t>&gt;</w:t>
      </w:r>
      <w:r w:rsidR="002C7455" w:rsidRPr="00330272">
        <w:rPr>
          <w:rFonts w:eastAsia="Calibri" w:cstheme="minorHAnsi"/>
          <w:noProof/>
          <w:shd w:val="clear" w:color="auto" w:fill="FFFFFF"/>
        </w:rPr>
        <w:t>.</w:t>
      </w:r>
    </w:p>
    <w:p w14:paraId="1831E7A9" w14:textId="77777777" w:rsidR="00E50B0A" w:rsidRPr="00330272" w:rsidRDefault="00E50B0A" w:rsidP="00E50B0A">
      <w:pPr>
        <w:pStyle w:val="ListParagraph"/>
        <w:rPr>
          <w:rFonts w:eastAsia="Times New Roman" w:cstheme="minorHAnsi"/>
          <w:lang w:eastAsia="en-GB"/>
        </w:rPr>
      </w:pPr>
    </w:p>
    <w:p w14:paraId="6481CF21"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62F42364"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5. METHOD and PROCESSING</w:t>
      </w:r>
    </w:p>
    <w:p w14:paraId="4AFE9D93"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w:t>
      </w:r>
    </w:p>
    <w:p w14:paraId="24EFFFF9" w14:textId="77777777" w:rsidR="003C1F9F" w:rsidRPr="00330272" w:rsidRDefault="003C1F9F"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263BB8B1" w14:textId="4B0B3487" w:rsidR="00DC4F4D" w:rsidRPr="00330272" w:rsidRDefault="00DC4F4D"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 xml:space="preserve">The dataset was generated using orthographic transcription of audio files of </w:t>
      </w:r>
      <w:r w:rsidR="00CB5B36" w:rsidRPr="00330272">
        <w:rPr>
          <w:rFonts w:eastAsia="Times New Roman" w:cstheme="minorHAnsi"/>
          <w:lang w:eastAsia="en-GB"/>
        </w:rPr>
        <w:t>verbal fluency data</w:t>
      </w:r>
      <w:r w:rsidRPr="00330272">
        <w:rPr>
          <w:rFonts w:eastAsia="Times New Roman" w:cstheme="minorHAnsi"/>
          <w:lang w:eastAsia="en-GB"/>
        </w:rPr>
        <w:t xml:space="preserve">, pen and paper data from the background measures, and </w:t>
      </w:r>
      <w:r w:rsidR="00AE7244" w:rsidRPr="00330272">
        <w:rPr>
          <w:rFonts w:eastAsia="Times New Roman" w:cstheme="minorHAnsi"/>
          <w:lang w:eastAsia="en-GB"/>
        </w:rPr>
        <w:t>reaction time</w:t>
      </w:r>
      <w:r w:rsidR="006439DF" w:rsidRPr="00330272">
        <w:rPr>
          <w:rFonts w:eastAsia="Times New Roman" w:cstheme="minorHAnsi"/>
          <w:lang w:eastAsia="en-GB"/>
        </w:rPr>
        <w:t xml:space="preserve"> (RT)</w:t>
      </w:r>
      <w:r w:rsidRPr="00330272">
        <w:rPr>
          <w:rFonts w:eastAsia="Times New Roman" w:cstheme="minorHAnsi"/>
          <w:lang w:eastAsia="en-GB"/>
        </w:rPr>
        <w:t xml:space="preserve"> data for the </w:t>
      </w:r>
      <w:r w:rsidR="00CB5B36" w:rsidRPr="00330272">
        <w:rPr>
          <w:rFonts w:eastAsia="Times New Roman" w:cstheme="minorHAnsi"/>
          <w:lang w:eastAsia="en-GB"/>
        </w:rPr>
        <w:t>verbal fluency data</w:t>
      </w:r>
      <w:r w:rsidR="00B3497B">
        <w:rPr>
          <w:rFonts w:eastAsia="Times New Roman" w:cstheme="minorHAnsi"/>
          <w:lang w:eastAsia="en-GB"/>
        </w:rPr>
        <w:t xml:space="preserve"> and</w:t>
      </w:r>
      <w:r w:rsidR="00E50B0A" w:rsidRPr="00330272">
        <w:rPr>
          <w:rFonts w:eastAsia="Times New Roman" w:cstheme="minorHAnsi"/>
          <w:lang w:eastAsia="en-GB"/>
        </w:rPr>
        <w:t xml:space="preserve">, </w:t>
      </w:r>
      <w:r w:rsidR="00CB5B36" w:rsidRPr="00330272">
        <w:rPr>
          <w:rFonts w:eastAsia="Times New Roman" w:cstheme="minorHAnsi"/>
          <w:lang w:eastAsia="en-GB"/>
        </w:rPr>
        <w:t>executive control measures</w:t>
      </w:r>
      <w:r w:rsidRPr="00330272">
        <w:rPr>
          <w:rFonts w:eastAsia="Times New Roman" w:cstheme="minorHAnsi"/>
          <w:lang w:eastAsia="en-GB"/>
        </w:rPr>
        <w:t xml:space="preserve">. </w:t>
      </w:r>
    </w:p>
    <w:p w14:paraId="7615AA17" w14:textId="382B3AA1" w:rsidR="001D7E12" w:rsidRPr="00330272" w:rsidRDefault="001D7E12"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6D74F925" w14:textId="25FEB919" w:rsidR="001D7E12" w:rsidRPr="00330272" w:rsidRDefault="001D7E12" w:rsidP="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330272">
        <w:rPr>
          <w:rFonts w:eastAsia="Times New Roman" w:cstheme="minorHAnsi"/>
          <w:lang w:eastAsia="en-GB"/>
        </w:rPr>
        <w:t>Details of methods:</w:t>
      </w:r>
    </w:p>
    <w:p w14:paraId="30E4F63C" w14:textId="77777777" w:rsidR="00330272" w:rsidRDefault="00330272" w:rsidP="00330272"/>
    <w:p w14:paraId="6E9A88A0" w14:textId="0FE720E0" w:rsidR="001D7E12" w:rsidRPr="00330272" w:rsidRDefault="001D7E12" w:rsidP="00330272">
      <w:pPr>
        <w:rPr>
          <w:b/>
          <w:bCs/>
        </w:rPr>
      </w:pPr>
      <w:r w:rsidRPr="00330272">
        <w:rPr>
          <w:b/>
          <w:bCs/>
        </w:rPr>
        <w:t>Trials and Procedures for Verbal Fluency</w:t>
      </w:r>
    </w:p>
    <w:p w14:paraId="39784841" w14:textId="51815A82" w:rsidR="001D7E12" w:rsidRPr="00330272" w:rsidRDefault="001D7E12" w:rsidP="00330272">
      <w:r w:rsidRPr="00330272">
        <w:t xml:space="preserve">All participants completed two verbal fluency conditions − semantic and letter – in both languages. Participants never performed the task in both languages on the same day and order of language was counterbalanced across participants. The conditions were </w:t>
      </w:r>
      <w:proofErr w:type="gramStart"/>
      <w:r w:rsidRPr="00330272">
        <w:t>counter</w:t>
      </w:r>
      <w:r w:rsidR="002068E8">
        <w:t xml:space="preserve"> </w:t>
      </w:r>
      <w:r w:rsidRPr="00330272">
        <w:t>balanced</w:t>
      </w:r>
      <w:proofErr w:type="gramEnd"/>
      <w:r w:rsidRPr="00330272">
        <w:t xml:space="preserve"> across participants, that is, half of the participants performed the semantic fluency condition first and the other half performed the letter fluency condition first. After familiarizing </w:t>
      </w:r>
      <w:r w:rsidR="006E1E55">
        <w:t xml:space="preserve">themselves </w:t>
      </w:r>
      <w:r w:rsidRPr="00330272">
        <w:t xml:space="preserve">with the task, participants were asked to produce as many words as possible in 60 seconds when the tester said “start”. The “start” prompt provided a definitive starting point for each trial. In the semantic fluency condition, participants produced words in two categories− </w:t>
      </w:r>
      <w:r w:rsidRPr="00330272">
        <w:rPr>
          <w:i/>
        </w:rPr>
        <w:t>animals</w:t>
      </w:r>
      <w:r w:rsidRPr="00330272">
        <w:t xml:space="preserve">, and </w:t>
      </w:r>
      <w:r w:rsidRPr="00330272">
        <w:rPr>
          <w:i/>
        </w:rPr>
        <w:t>fruits and vegetables</w:t>
      </w:r>
      <w:r w:rsidRPr="00330272">
        <w:t xml:space="preserve">. In the letter fluency condition, participants were asked to produce words that start with the letters </w:t>
      </w:r>
      <w:r w:rsidRPr="00330272">
        <w:rPr>
          <w:i/>
        </w:rPr>
        <w:t xml:space="preserve">F, A, </w:t>
      </w:r>
      <w:r w:rsidRPr="00330272">
        <w:t xml:space="preserve">and </w:t>
      </w:r>
      <w:r w:rsidRPr="00330272">
        <w:rPr>
          <w:i/>
        </w:rPr>
        <w:t>S</w:t>
      </w:r>
      <w:r w:rsidRPr="00330272">
        <w:t xml:space="preserve"> for the English language and letters </w:t>
      </w:r>
      <w:r w:rsidRPr="00330272">
        <w:rPr>
          <w:i/>
        </w:rPr>
        <w:t>P, K,</w:t>
      </w:r>
      <w:r w:rsidRPr="00330272">
        <w:t xml:space="preserve"> and </w:t>
      </w:r>
      <w:r w:rsidRPr="00330272">
        <w:rPr>
          <w:i/>
        </w:rPr>
        <w:t>M</w:t>
      </w:r>
      <w:r w:rsidRPr="00330272">
        <w:t xml:space="preserve"> for the Bengali. The instruction for the Bengali letter fluency task was different from the English letter fluency task </w:t>
      </w:r>
      <w:r w:rsidR="00EE6056">
        <w:t xml:space="preserve">because of </w:t>
      </w:r>
      <w:r w:rsidRPr="00330272">
        <w:t xml:space="preserve">the phonology of Bengali language. In the Bengali letter fluency task, participants were asked to name words that start with the sound (e.g., /p/) rather than the letter (e.g., </w:t>
      </w:r>
      <w:r w:rsidRPr="00330272">
        <w:rPr>
          <w:i/>
        </w:rPr>
        <w:t>P</w:t>
      </w:r>
      <w:r w:rsidRPr="00330272">
        <w:t xml:space="preserve">). </w:t>
      </w:r>
    </w:p>
    <w:p w14:paraId="19F13AC3" w14:textId="000C2491" w:rsidR="001D7E12" w:rsidRPr="00330272" w:rsidRDefault="001D7E12" w:rsidP="00330272">
      <w:pPr>
        <w:rPr>
          <w:b/>
          <w:bCs/>
        </w:rPr>
      </w:pPr>
      <w:r w:rsidRPr="00330272">
        <w:rPr>
          <w:b/>
          <w:bCs/>
        </w:rPr>
        <w:t xml:space="preserve">Executive Control Measures </w:t>
      </w:r>
    </w:p>
    <w:p w14:paraId="5668050F" w14:textId="3637B921" w:rsidR="001D7E12" w:rsidRPr="00330272" w:rsidRDefault="001D7E12" w:rsidP="00330272">
      <w:bookmarkStart w:id="1" w:name="_Toc510463199"/>
      <w:r w:rsidRPr="00330272">
        <w:rPr>
          <w:i/>
          <w:iCs/>
        </w:rPr>
        <w:t>Inhibitory control (Stroop test)</w:t>
      </w:r>
      <w:bookmarkEnd w:id="1"/>
      <w:r w:rsidRPr="00330272">
        <w:t>: The computerized Stroop Task used in this study was adapted from Scott and Wilshire</w:t>
      </w:r>
      <w:r w:rsidR="00330272" w:rsidRPr="00330272">
        <w:t xml:space="preserve"> </w:t>
      </w:r>
      <w:r w:rsidR="00330272" w:rsidRPr="00330272">
        <w:fldChar w:fldCharType="begin"/>
      </w:r>
      <w:r w:rsidR="00330272" w:rsidRPr="00330272">
        <w:instrText xml:space="preserve"> ADDIN ZOTERO_ITEM CSL_CITATION {"citationID":"cSrf8iK9","properties":{"formattedCitation":"(Scott &amp; Wilshire, 2010)","plainCitation":"(Scott &amp; Wilshire, 2010)","noteIndex":0},"citationItems":[{"id":48,"uris":["http://zotero.org/users/6873236/items/35EMANM9"],"uri":["http://zotero.org/users/6873236/items/35EMANM9"],"itemData":{"id":48,"type":"article-journal","container-title":"Cognitive neuropsychology","issue":"6","note":"publisher: Taylor &amp; Francis","page":"505–538","source":"Google Scholar","title":"Lexical competition for production in a case of nonfluent aphasia: Converging evidence from four different tasks","title-short":"Lexical competition for production in a case of nonfluent aphasia","volume":"27","author":[{"family":"Scott","given":"Rebecca M."},{"family":"Wilshire","given":"Carolyn E."}],"issued":{"date-parts":[["2010"]]}}}],"schema":"https://github.com/citation-style-language/schema/raw/master/csl-citation.json"} </w:instrText>
      </w:r>
      <w:r w:rsidR="00330272" w:rsidRPr="00330272">
        <w:fldChar w:fldCharType="separate"/>
      </w:r>
      <w:r w:rsidR="00330272" w:rsidRPr="00330272">
        <w:rPr>
          <w:noProof/>
        </w:rPr>
        <w:t>(Scott &amp; Wilshire, 2010)</w:t>
      </w:r>
      <w:r w:rsidR="00330272" w:rsidRPr="00330272">
        <w:fldChar w:fldCharType="end"/>
      </w:r>
      <w:r w:rsidRPr="00330272">
        <w:t>. Participants were assessed on two conditions, neutral and incongruent. In the neutral condition, participants named a series of 50 colo</w:t>
      </w:r>
      <w:r w:rsidR="00532FDF">
        <w:t>u</w:t>
      </w:r>
      <w:r w:rsidRPr="00330272">
        <w:t>r rectangles and in the incongruent condition a series of colo</w:t>
      </w:r>
      <w:r w:rsidR="00532FDF">
        <w:t>u</w:t>
      </w:r>
      <w:r w:rsidRPr="00330272">
        <w:t>r words were presented with a different font colo</w:t>
      </w:r>
      <w:r w:rsidR="00532FDF">
        <w:t>u</w:t>
      </w:r>
      <w:r w:rsidRPr="00330272">
        <w:t>r (e.g., RED word in green font colour). Participants were asked to name the font colo</w:t>
      </w:r>
      <w:r w:rsidR="00532FDF">
        <w:t>u</w:t>
      </w:r>
      <w:r w:rsidRPr="00330272">
        <w:t>r (e.g., green) of the colo</w:t>
      </w:r>
      <w:r w:rsidR="00532FDF">
        <w:t>u</w:t>
      </w:r>
      <w:r w:rsidRPr="00330272">
        <w:t xml:space="preserve">r word (e.g., RED). Reaction Times (RT) were measured for the correct trials to calculate the Stroop difference (Equation 1) and the Stroop ratio (Equation 2). The Stroop ratio (Equation 2) was used as a dependent variable to account for the overall slower response speed in the BWA </w:t>
      </w:r>
      <w:r w:rsidRPr="00330272">
        <w:lastRenderedPageBreak/>
        <w:t>compared to the BHC</w:t>
      </w:r>
      <w:r w:rsidR="00330272" w:rsidRPr="00330272">
        <w:t xml:space="preserve"> </w:t>
      </w:r>
      <w:r w:rsidR="00330272" w:rsidRPr="00330272">
        <w:fldChar w:fldCharType="begin"/>
      </w:r>
      <w:r w:rsidR="00330272" w:rsidRPr="00330272">
        <w:instrText xml:space="preserve"> ADDIN ZOTERO_ITEM CSL_CITATION {"citationID":"3bVYmzfN","properties":{"formattedCitation":"(Faroqi-Shah et al., 2018; Patra et al., 2020)","plainCitation":"(Faroqi-Shah et al., 2018; Patra et al., 2020)","noteIndex":0},"citationItems":[{"id":27,"uris":["http://zotero.org/users/6873236/items/I8QGCKMJ"],"uri":["http://zotero.org/users/6873236/items/I8QGCKMJ"],"itemData":{"id":27,"type":"article-journal","container-title":"Journal of Neurolinguistics","note":"publisher: Elsevier","page":"95–109","source":"Google Scholar","title":"Cognitive control, word retrieval and bilingual aphasia: Is there a relationship?","title-short":"Cognitive control, word retrieval and bilingual aphasia","volume":"45","author":[{"family":"Faroqi-Shah","given":"Yasmeen"},{"family":"Sampson","given":"Monica"},{"family":"Pranger","given":"Mariah"},{"family":"Baughman","given":"Susan"}],"issued":{"date-parts":[["2018"]]}}},{"id":3,"uris":["http://zotero.org/users/6873236/items/7VXX3UET"],"uri":["http://zotero.org/users/6873236/items/7VXX3UET"],"itemData":{"id":3,"type":"article-journal","container-title":"Bilingualism: Language and Cognition","issue":"1","note":"publisher: Cambridge University Press","page":"204–218","source":"Google Scholar","title":"Performance difference in verbal fluency in bilingual and monolingual speakers","volume":"23","author":[{"family":"Patra","given":"Abhijeet"},{"family":"Bose","given":"Arpita"},{"family":"Marinis","given":"Theodoros"}],"issued":{"date-parts":[["2020"]]}}}],"schema":"https://github.com/citation-style-language/schema/raw/master/csl-citation.json"} </w:instrText>
      </w:r>
      <w:r w:rsidR="00330272" w:rsidRPr="00330272">
        <w:fldChar w:fldCharType="separate"/>
      </w:r>
      <w:r w:rsidR="00330272" w:rsidRPr="00330272">
        <w:rPr>
          <w:noProof/>
        </w:rPr>
        <w:t>(Faroqi-Shah et al., 2018; Patra et al., 2020)</w:t>
      </w:r>
      <w:r w:rsidR="00330272" w:rsidRPr="00330272">
        <w:fldChar w:fldCharType="end"/>
      </w:r>
      <w:r w:rsidRPr="00330272">
        <w:t>. A smaller Stroop difference and Stroop ratio indicates better inhibitory control. Please refer to Patra et al.</w:t>
      </w:r>
      <w:r w:rsidR="003D7C4F">
        <w:t xml:space="preserve"> 2020</w:t>
      </w:r>
      <w:r w:rsidRPr="00330272">
        <w:t xml:space="preserve"> for a detailed description of the task and analysis procedure.</w:t>
      </w:r>
    </w:p>
    <w:p w14:paraId="6F96EF75" w14:textId="77777777" w:rsidR="001D7E12" w:rsidRPr="00330272" w:rsidRDefault="001D7E12" w:rsidP="00330272"/>
    <w:tbl>
      <w:tblPr>
        <w:tblW w:w="5000" w:type="pct"/>
        <w:jc w:val="center"/>
        <w:tblCellMar>
          <w:left w:w="0" w:type="dxa"/>
          <w:right w:w="0" w:type="dxa"/>
        </w:tblCellMar>
        <w:tblLook w:val="04A0" w:firstRow="1" w:lastRow="0" w:firstColumn="1" w:lastColumn="0" w:noHBand="0" w:noVBand="1"/>
      </w:tblPr>
      <w:tblGrid>
        <w:gridCol w:w="9026"/>
      </w:tblGrid>
      <w:tr w:rsidR="001D7E12" w:rsidRPr="00330272" w14:paraId="567BAD81" w14:textId="77777777" w:rsidTr="003B4E3B">
        <w:trPr>
          <w:jc w:val="center"/>
        </w:trPr>
        <w:tc>
          <w:tcPr>
            <w:tcW w:w="5000" w:type="pct"/>
            <w:vAlign w:val="center"/>
          </w:tcPr>
          <w:p w14:paraId="0C6D41A2" w14:textId="5AC732DD" w:rsidR="001D7E12" w:rsidRPr="00330272" w:rsidRDefault="001D7E12" w:rsidP="00330272">
            <w:pPr>
              <w:jc w:val="center"/>
            </w:pPr>
            <m:oMath>
              <m:r>
                <m:rPr>
                  <m:sty m:val="p"/>
                </m:rPr>
                <w:rPr>
                  <w:rFonts w:ascii="Cambria Math" w:hAnsi="Cambria Math"/>
                </w:rPr>
                <m:t xml:space="preserve">Stroop difference= </m:t>
              </m:r>
              <m:sSub>
                <m:sSubPr>
                  <m:ctrlPr>
                    <w:rPr>
                      <w:rFonts w:ascii="Cambria Math" w:eastAsia="Calibri" w:hAnsi="Cambria Math"/>
                    </w:rPr>
                  </m:ctrlPr>
                </m:sSubPr>
                <m:e>
                  <m:r>
                    <w:rPr>
                      <w:rFonts w:ascii="Cambria Math" w:hAnsi="Cambria Math"/>
                    </w:rPr>
                    <m:t>RT</m:t>
                  </m:r>
                </m:e>
                <m:sub>
                  <m:r>
                    <w:rPr>
                      <w:rFonts w:ascii="Cambria Math" w:hAnsi="Cambria Math"/>
                    </w:rPr>
                    <m:t>INCONGRUENT</m:t>
                  </m:r>
                  <m:r>
                    <m:rPr>
                      <m:sty m:val="p"/>
                    </m:rPr>
                    <w:rPr>
                      <w:rFonts w:ascii="Cambria Math" w:hAnsi="Cambria Math"/>
                    </w:rPr>
                    <m:t xml:space="preserve"> </m:t>
                  </m:r>
                  <m:r>
                    <w:rPr>
                      <w:rFonts w:ascii="Cambria Math" w:hAnsi="Cambria Math"/>
                    </w:rPr>
                    <m:t>TRIAL</m:t>
                  </m:r>
                </m:sub>
              </m:sSub>
              <m:r>
                <m:rPr>
                  <m:sty m:val="p"/>
                </m:rPr>
                <w:rPr>
                  <w:rFonts w:ascii="Cambria Math" w:hAnsi="Cambria Math"/>
                </w:rPr>
                <m:t xml:space="preserve"> - </m:t>
              </m:r>
              <m:sSub>
                <m:sSubPr>
                  <m:ctrlPr>
                    <w:rPr>
                      <w:rFonts w:ascii="Cambria Math" w:eastAsia="Calibri" w:hAnsi="Cambria Math"/>
                    </w:rPr>
                  </m:ctrlPr>
                </m:sSubPr>
                <m:e>
                  <m:r>
                    <w:rPr>
                      <w:rFonts w:ascii="Cambria Math" w:hAnsi="Cambria Math"/>
                    </w:rPr>
                    <m:t>RT</m:t>
                  </m:r>
                </m:e>
                <m:sub>
                  <m:r>
                    <w:rPr>
                      <w:rFonts w:ascii="Cambria Math" w:hAnsi="Cambria Math"/>
                    </w:rPr>
                    <m:t>NEUTRAL</m:t>
                  </m:r>
                  <m:r>
                    <m:rPr>
                      <m:sty m:val="p"/>
                    </m:rPr>
                    <w:rPr>
                      <w:rFonts w:ascii="Cambria Math" w:hAnsi="Cambria Math"/>
                    </w:rPr>
                    <m:t xml:space="preserve"> </m:t>
                  </m:r>
                  <m:r>
                    <w:rPr>
                      <w:rFonts w:ascii="Cambria Math" w:hAnsi="Cambria Math"/>
                    </w:rPr>
                    <m:t>TRIAL</m:t>
                  </m:r>
                </m:sub>
              </m:sSub>
            </m:oMath>
            <w:r w:rsidRPr="00330272">
              <w:t xml:space="preserve">             (1)</w:t>
            </w:r>
          </w:p>
        </w:tc>
      </w:tr>
      <w:tr w:rsidR="001D7E12" w:rsidRPr="00330272" w14:paraId="08ADD178" w14:textId="77777777" w:rsidTr="003B4E3B">
        <w:trPr>
          <w:jc w:val="center"/>
        </w:trPr>
        <w:tc>
          <w:tcPr>
            <w:tcW w:w="5000" w:type="pct"/>
            <w:vAlign w:val="center"/>
          </w:tcPr>
          <w:p w14:paraId="61BC1CE8" w14:textId="77777777" w:rsidR="001D7E12" w:rsidRPr="00330272" w:rsidRDefault="001D7E12" w:rsidP="00330272">
            <w:pPr>
              <w:jc w:val="center"/>
            </w:pPr>
            <m:oMath>
              <m:r>
                <m:rPr>
                  <m:sty m:val="p"/>
                </m:rPr>
                <w:rPr>
                  <w:rFonts w:ascii="Cambria Math" w:hAnsi="Cambria Math"/>
                </w:rPr>
                <m:t xml:space="preserve">Stroop ratio= </m:t>
              </m:r>
              <m:d>
                <m:dPr>
                  <m:begChr m:val="["/>
                  <m:endChr m:val="]"/>
                  <m:ctrlPr>
                    <w:rPr>
                      <w:rFonts w:ascii="Cambria Math" w:eastAsia="Calibri" w:hAnsi="Cambria Math"/>
                    </w:rPr>
                  </m:ctrlPr>
                </m:dPr>
                <m:e>
                  <m:f>
                    <m:fPr>
                      <m:ctrlPr>
                        <w:rPr>
                          <w:rFonts w:ascii="Cambria Math" w:eastAsia="Calibri" w:hAnsi="Cambria Math"/>
                        </w:rPr>
                      </m:ctrlPr>
                    </m:fPr>
                    <m:num>
                      <m:sSub>
                        <m:sSubPr>
                          <m:ctrlPr>
                            <w:rPr>
                              <w:rFonts w:ascii="Cambria Math" w:eastAsia="Calibri" w:hAnsi="Cambria Math"/>
                            </w:rPr>
                          </m:ctrlPr>
                        </m:sSubPr>
                        <m:e>
                          <m:r>
                            <w:rPr>
                              <w:rFonts w:ascii="Cambria Math" w:hAnsi="Cambria Math"/>
                            </w:rPr>
                            <m:t>RT</m:t>
                          </m:r>
                        </m:e>
                        <m:sub>
                          <m:r>
                            <w:rPr>
                              <w:rFonts w:ascii="Cambria Math" w:hAnsi="Cambria Math"/>
                            </w:rPr>
                            <m:t>INCONGRUENT</m:t>
                          </m:r>
                          <m:r>
                            <m:rPr>
                              <m:sty m:val="p"/>
                            </m:rPr>
                            <w:rPr>
                              <w:rFonts w:ascii="Cambria Math" w:hAnsi="Cambria Math"/>
                            </w:rPr>
                            <m:t xml:space="preserve"> </m:t>
                          </m:r>
                          <m:r>
                            <w:rPr>
                              <w:rFonts w:ascii="Cambria Math" w:hAnsi="Cambria Math"/>
                            </w:rPr>
                            <m:t>TRIAL</m:t>
                          </m:r>
                        </m:sub>
                      </m:sSub>
                      <m:r>
                        <m:rPr>
                          <m:sty m:val="p"/>
                        </m:rPr>
                        <w:rPr>
                          <w:rFonts w:ascii="Cambria Math" w:hAnsi="Cambria Math"/>
                        </w:rPr>
                        <m:t xml:space="preserve"> - </m:t>
                      </m:r>
                      <m:sSub>
                        <m:sSubPr>
                          <m:ctrlPr>
                            <w:rPr>
                              <w:rFonts w:ascii="Cambria Math" w:eastAsia="Calibri" w:hAnsi="Cambria Math"/>
                            </w:rPr>
                          </m:ctrlPr>
                        </m:sSubPr>
                        <m:e>
                          <m:r>
                            <w:rPr>
                              <w:rFonts w:ascii="Cambria Math" w:hAnsi="Cambria Math"/>
                            </w:rPr>
                            <m:t>RT</m:t>
                          </m:r>
                        </m:e>
                        <m:sub>
                          <m:r>
                            <w:rPr>
                              <w:rFonts w:ascii="Cambria Math" w:hAnsi="Cambria Math"/>
                            </w:rPr>
                            <m:t>NEUTRAL</m:t>
                          </m:r>
                          <m:r>
                            <m:rPr>
                              <m:sty m:val="p"/>
                            </m:rPr>
                            <w:rPr>
                              <w:rFonts w:ascii="Cambria Math" w:hAnsi="Cambria Math"/>
                            </w:rPr>
                            <m:t xml:space="preserve"> </m:t>
                          </m:r>
                          <m:r>
                            <w:rPr>
                              <w:rFonts w:ascii="Cambria Math" w:hAnsi="Cambria Math"/>
                            </w:rPr>
                            <m:t>TRIAL</m:t>
                          </m:r>
                        </m:sub>
                      </m:sSub>
                    </m:num>
                    <m:den>
                      <m:f>
                        <m:fPr>
                          <m:ctrlPr>
                            <w:rPr>
                              <w:rFonts w:ascii="Cambria Math" w:eastAsia="Calibri" w:hAnsi="Cambria Math"/>
                            </w:rPr>
                          </m:ctrlPr>
                        </m:fPr>
                        <m:num>
                          <m:sSub>
                            <m:sSubPr>
                              <m:ctrlPr>
                                <w:rPr>
                                  <w:rFonts w:ascii="Cambria Math" w:eastAsia="Calibri" w:hAnsi="Cambria Math"/>
                                </w:rPr>
                              </m:ctrlPr>
                            </m:sSubPr>
                            <m:e>
                              <m:r>
                                <w:rPr>
                                  <w:rFonts w:ascii="Cambria Math" w:hAnsi="Cambria Math"/>
                                </w:rPr>
                                <m:t>RT</m:t>
                              </m:r>
                            </m:e>
                            <m:sub>
                              <m:r>
                                <w:rPr>
                                  <w:rFonts w:ascii="Cambria Math" w:hAnsi="Cambria Math"/>
                                </w:rPr>
                                <m:t>INCONGRUENT</m:t>
                              </m:r>
                              <m:r>
                                <m:rPr>
                                  <m:sty m:val="p"/>
                                </m:rPr>
                                <w:rPr>
                                  <w:rFonts w:ascii="Cambria Math" w:hAnsi="Cambria Math"/>
                                </w:rPr>
                                <m:t xml:space="preserve"> </m:t>
                              </m:r>
                              <m:r>
                                <w:rPr>
                                  <w:rFonts w:ascii="Cambria Math" w:hAnsi="Cambria Math"/>
                                </w:rPr>
                                <m:t>TRIAL</m:t>
                              </m:r>
                            </m:sub>
                          </m:sSub>
                          <m:r>
                            <m:rPr>
                              <m:sty m:val="p"/>
                            </m:rPr>
                            <w:rPr>
                              <w:rFonts w:ascii="Cambria Math" w:hAnsi="Cambria Math"/>
                            </w:rPr>
                            <m:t xml:space="preserve">+ </m:t>
                          </m:r>
                          <m:sSub>
                            <m:sSubPr>
                              <m:ctrlPr>
                                <w:rPr>
                                  <w:rFonts w:ascii="Cambria Math" w:eastAsia="Calibri" w:hAnsi="Cambria Math"/>
                                </w:rPr>
                              </m:ctrlPr>
                            </m:sSubPr>
                            <m:e>
                              <m:r>
                                <w:rPr>
                                  <w:rFonts w:ascii="Cambria Math" w:hAnsi="Cambria Math"/>
                                </w:rPr>
                                <m:t>RT</m:t>
                              </m:r>
                            </m:e>
                            <m:sub>
                              <m:r>
                                <w:rPr>
                                  <w:rFonts w:ascii="Cambria Math" w:hAnsi="Cambria Math"/>
                                </w:rPr>
                                <m:t>NEUTRAL</m:t>
                              </m:r>
                              <m:r>
                                <m:rPr>
                                  <m:sty m:val="p"/>
                                </m:rPr>
                                <w:rPr>
                                  <w:rFonts w:ascii="Cambria Math" w:hAnsi="Cambria Math"/>
                                </w:rPr>
                                <m:t xml:space="preserve"> </m:t>
                              </m:r>
                              <m:r>
                                <w:rPr>
                                  <w:rFonts w:ascii="Cambria Math" w:hAnsi="Cambria Math"/>
                                </w:rPr>
                                <m:t>TRIAL</m:t>
                              </m:r>
                            </m:sub>
                          </m:sSub>
                        </m:num>
                        <m:den>
                          <m:r>
                            <m:rPr>
                              <m:sty m:val="p"/>
                            </m:rPr>
                            <w:rPr>
                              <w:rFonts w:ascii="Cambria Math" w:hAnsi="Cambria Math"/>
                            </w:rPr>
                            <m:t>2</m:t>
                          </m:r>
                        </m:den>
                      </m:f>
                    </m:den>
                  </m:f>
                </m:e>
              </m:d>
              <m:r>
                <w:rPr>
                  <w:rFonts w:ascii="Cambria Math" w:eastAsia="Calibri" w:hAnsi="Cambria Math"/>
                </w:rPr>
                <m:t xml:space="preserve"> X100</m:t>
              </m:r>
            </m:oMath>
            <w:r w:rsidRPr="00330272">
              <w:t xml:space="preserve">                   (2)</w:t>
            </w:r>
          </w:p>
        </w:tc>
      </w:tr>
    </w:tbl>
    <w:p w14:paraId="0F498C43" w14:textId="77777777" w:rsidR="001D7E12" w:rsidRPr="00330272" w:rsidRDefault="001D7E12" w:rsidP="00330272"/>
    <w:p w14:paraId="1396AB80" w14:textId="6D4D578E" w:rsidR="001D7E12" w:rsidRPr="00330272" w:rsidRDefault="001D7E12" w:rsidP="00330272">
      <w:bookmarkStart w:id="2" w:name="_Toc510463200"/>
      <w:r w:rsidRPr="00330272">
        <w:rPr>
          <w:i/>
          <w:iCs/>
        </w:rPr>
        <w:t>Shifting between task-sets (Trail Making Test)</w:t>
      </w:r>
      <w:bookmarkEnd w:id="2"/>
      <w:r w:rsidRPr="00330272">
        <w:t>: The Trail Making Test (TMT,</w:t>
      </w:r>
      <w:r w:rsidR="00330272" w:rsidRPr="00330272">
        <w:t xml:space="preserve"> </w:t>
      </w:r>
      <w:r w:rsidR="00330272" w:rsidRPr="00330272">
        <w:fldChar w:fldCharType="begin"/>
      </w:r>
      <w:r w:rsidR="00330272" w:rsidRPr="00330272">
        <w:instrText xml:space="preserve"> ADDIN ZOTERO_ITEM CSL_CITATION {"citationID":"w0iuDayb","properties":{"formattedCitation":"(Reitan, 1986)","plainCitation":"(Reitan, 1986)","noteIndex":0},"citationItems":[{"id":53,"uris":["http://zotero.org/users/6873236/items/I3FIXP74"],"uri":["http://zotero.org/users/6873236/items/I3FIXP74"],"itemData":{"id":53,"type":"article-journal","container-title":"Neuropsychological assessment of neuropsychiatric disorders","note":"publisher: Oxford University Press New York","page":"3–30","source":"Google Scholar","title":"Theoretical and methodological bases of the Halstead-Reitan neuropsychological test battery","author":[{"family":"Reitan","given":"R. M."}],"issued":{"date-parts":[["1986"]]}}}],"schema":"https://github.com/citation-style-language/schema/raw/master/csl-citation.json"} </w:instrText>
      </w:r>
      <w:r w:rsidR="00330272" w:rsidRPr="00330272">
        <w:fldChar w:fldCharType="separate"/>
      </w:r>
      <w:r w:rsidR="00330272" w:rsidRPr="00330272">
        <w:rPr>
          <w:noProof/>
        </w:rPr>
        <w:t>Reitan, 1986</w:t>
      </w:r>
      <w:r w:rsidR="00330272" w:rsidRPr="00330272">
        <w:fldChar w:fldCharType="end"/>
      </w:r>
      <w:r w:rsidRPr="00330272">
        <w:t>), one of the most widely used neuropsychological tests, was used to assess mental set shifting</w:t>
      </w:r>
      <w:r w:rsidR="00330272" w:rsidRPr="00330272">
        <w:t xml:space="preserve"> </w:t>
      </w:r>
      <w:r w:rsidR="00330272" w:rsidRPr="00330272">
        <w:fldChar w:fldCharType="begin"/>
      </w:r>
      <w:r w:rsidR="00330272" w:rsidRPr="00330272">
        <w:instrText xml:space="preserve"> ADDIN ZOTERO_ITEM CSL_CITATION {"citationID":"aYvy42cV","properties":{"formattedCitation":"(S\\uc0\\u225{}nchez-Cubillo et al., 2009)","plainCitation":"(Sánchez-Cubillo et al., 2009)","noteIndex":0},"citationItems":[{"id":120,"uris":["http://zotero.org/users/6873236/items/FTUST3XX"],"uri":["http://zotero.org/users/6873236/items/FTUST3XX"],"itemData":{"id":120,"type":"article-journal","abstract":"The aim of this study was to clarify which cognitive mechanisms underlie Trail Making Test (TMT) direct and derived scores. A comprehensive review of the literature on the topic was carried out to clarify which cognitive factors had been related to TMT performance. Following the review, we explored the relative contribution from working memory, inhibition/interference control, task-switching ability, and visuomotor speed to TMT performance. Forty-one healthy old subjects participated in the study and performed a battery of neuropsychological tests including the TMT, the Digit Symbol subtest [Wechsler Adult Intelligence Scale (Third Version) (WAIS-III)], a Finger Tapping Test, the Digits Forward and Backward subtests (WAIS-III), Stroop Test, and a task-switching paradigm inspired in the Wisconsin Card Sorting Test. Correlation and regression analyses were used in order to clarify the joint and unique contributions from different cognitive factors to the prediction of TMT scores. The results suggest that TMT-A requires mainly visuoperceptual abilities, TMT-B reflects primarily working memory and secondarily task-switching ability, while B-A minimizes visuoperceptual and working memory demands, providing a relatively pure indicator of executive control abilities. (JINS, 2009, 15, 438–450.)","container-title":"Journal of the International Neuropsychological Society","DOI":"10.1017/S1355617709090626","ISSN":"1469-7661, 1355-6177","issue":"3","language":"en","note":"publisher: Cambridge University Press","page":"438-450","source":"Cambridge University Press","title":"Construct validity of the Trail Making Test: Role of task-switching, working memory, inhibition/interference control, and visuomotor abilities","title-short":"Construct validity of the Trail Making Test","volume":"15","author":[{"family":"Sánchez-Cubillo","given":"I."},{"family":"Periáñez","given":"J. A."},{"family":"Adrover-Roig","given":"D."},{"family":"Rodríguez-Sánchez","given":"J. M."},{"family":"Ríos-Lago","given":"M."},{"family":"Tirapu","given":"J."},{"family":"Barceló","given":"F."}],"issued":{"date-parts":[["2009",5]]}}}],"schema":"https://github.com/citation-style-language/schema/raw/master/csl-citation.json"} </w:instrText>
      </w:r>
      <w:r w:rsidR="00330272" w:rsidRPr="00330272">
        <w:fldChar w:fldCharType="separate"/>
      </w:r>
      <w:r w:rsidR="00330272" w:rsidRPr="00330272">
        <w:rPr>
          <w:color w:val="000000"/>
        </w:rPr>
        <w:t>(Sánchez-Cubillo et al., 2009)</w:t>
      </w:r>
      <w:r w:rsidR="00330272" w:rsidRPr="00330272">
        <w:fldChar w:fldCharType="end"/>
      </w:r>
      <w:r w:rsidRPr="00330272">
        <w:t xml:space="preserve">. The test consists of two parts, A and B. On part A, participants are asked to connect 25 circled numbers (e.g. 1, 2, 3, 4, etc.) distributed on a paper using a pen/pencil. On part B, participants need to connect the circles but alternating between circled numbers and letters (e.g. 1, A, 2, B, 3, C, etc.). All participants completed both parts of the test. We measured the total time in seconds for both parts of the test, therefore, achieving two scores, TMT-A and TMT-B. The dependent variables were: the TMT difference score (B -A) which has been shown to be the best indicator of task switching ability of the TMT test </w:t>
      </w:r>
      <w:r w:rsidRPr="00330272">
        <w:fldChar w:fldCharType="begin"/>
      </w:r>
      <w:r w:rsidR="00330272" w:rsidRPr="00330272">
        <w:instrText xml:space="preserve"> ADDIN ZOTERO_ITEM CSL_CITATION {"citationID":"R8FtngUI","properties":{"formattedCitation":"(S\\uc0\\u225{}nchez-Cubillo et al., 2009)","plainCitation":"(Sánchez-Cubillo et al., 2009)","noteIndex":0},"citationItems":[{"id":120,"uris":["http://zotero.org/users/6873236/items/FTUST3XX"],"uri":["http://zotero.org/users/6873236/items/FTUST3XX"],"itemData":{"id":120,"type":"article-journal","abstract":"The aim of this study was to clarify which cognitive mechanisms underlie Trail Making Test (TMT) direct and derived scores. A comprehensive review of the literature on the topic was carried out to clarify which cognitive factors had been related to TMT performance. Following the review, we explored the relative contribution from working memory, inhibition/interference control, task-switching ability, and visuomotor speed to TMT performance. Forty-one healthy old subjects participated in the study and performed a battery of neuropsychological tests including the TMT, the Digit Symbol subtest [Wechsler Adult Intelligence Scale (Third Version) (WAIS-III)], a Finger Tapping Test, the Digits Forward and Backward subtests (WAIS-III), Stroop Test, and a task-switching paradigm inspired in the Wisconsin Card Sorting Test. Correlation and regression analyses were used in order to clarify the joint and unique contributions from different cognitive factors to the prediction of TMT scores. The results suggest that TMT-A requires mainly visuoperceptual abilities, TMT-B reflects primarily working memory and secondarily task-switching ability, while B-A minimizes visuoperceptual and working memory demands, providing a relatively pure indicator of executive control abilities. (JINS, 2009, 15, 438–450.)","container-title":"Journal of the International Neuropsychological Society","DOI":"10.1017/S1355617709090626","ISSN":"1469-7661, 1355-6177","issue":"3","language":"en","note":"publisher: Cambridge University Press","page":"438-450","source":"Cambridge University Press","title":"Construct validity of the Trail Making Test: Role of task-switching, working memory, inhibition/interference control, and visuomotor abilities","title-short":"Construct validity of the Trail Making Test","volume":"15","author":[{"family":"Sánchez-Cubillo","given":"I."},{"family":"Periáñez","given":"J. A."},{"family":"Adrover-Roig","given":"D."},{"family":"Rodríguez-Sánchez","given":"J. M."},{"family":"Ríos-Lago","given":"M."},{"family":"Tirapu","given":"J."},{"family":"Barceló","given":"F."}],"issued":{"date-parts":[["2009",5]]}}}],"schema":"https://github.com/citation-style-language/schema/raw/master/csl-citation.json"} </w:instrText>
      </w:r>
      <w:r w:rsidRPr="00330272">
        <w:fldChar w:fldCharType="separate"/>
      </w:r>
      <w:r w:rsidR="00330272" w:rsidRPr="00330272">
        <w:rPr>
          <w:color w:val="000000"/>
        </w:rPr>
        <w:t>(Sánchez-Cubillo et al., 2009)</w:t>
      </w:r>
      <w:r w:rsidRPr="00330272">
        <w:fldChar w:fldCharType="end"/>
      </w:r>
      <w:r w:rsidRPr="00330272">
        <w:t xml:space="preserve">, and the TMT ratio (B/A) which has shown to control perceptual speed to some extent </w:t>
      </w:r>
      <w:r w:rsidRPr="00330272">
        <w:fldChar w:fldCharType="begin"/>
      </w:r>
      <w:r w:rsidR="00330272" w:rsidRPr="00330272">
        <w:instrText xml:space="preserve"> ADDIN ZOTERO_ITEM CSL_CITATION {"citationID":"wTGLOB41","properties":{"formattedCitation":"(Salthouse, 2011)","plainCitation":"(Salthouse, 2011)","noteIndex":0},"citationItems":[{"id":123,"uris":["http://zotero.org/users/6873236/items/7VC92HPY"],"uri":["http://zotero.org/users/6873236/items/7VC92HPY"],"itemData":{"id":123,"type":"article-journal","abstract":"The cognitive abilities involved in the Connections (Salthouse, et al., 2000) version of the trail making test were investigated by administering the test, along with a battery of cognitive tests and tests of complex span and updating conceptualizations of working memory, to a sample of over 3600 adults. The results indicate that this variant of the trail making test largely reflects individual differences in speed and fluid cognitive abilities, with the relative contributions of the two abilities varying according to particular measure of performance considered (e.g., difference, ratio, or residual). Relations of age on trail making performance were also examined. Although strong age differences were evident in the Connections and working memory measures, with both sets of variables there was nearly complete overlap of the age differences with individual differences in speed and fluid cognitive abilities.","container-title":"Intelligence","DOI":"10.1016/j.intell.2011.03.001","ISSN":"0160-2896","issue":"4","journalAbbreviation":"Intelligence","language":"en","page":"222-232","source":"ScienceDirect","title":"What cognitive abilities are involved in trail-making performance?","volume":"39","author":[{"family":"Salthouse","given":"Timothy A."}],"issued":{"date-parts":[["2011",7,1]]}}}],"schema":"https://github.com/citation-style-language/schema/raw/master/csl-citation.json"} </w:instrText>
      </w:r>
      <w:r w:rsidRPr="00330272">
        <w:fldChar w:fldCharType="separate"/>
      </w:r>
      <w:r w:rsidR="00330272" w:rsidRPr="00330272">
        <w:rPr>
          <w:noProof/>
        </w:rPr>
        <w:t>(Salthouse, 2011)</w:t>
      </w:r>
      <w:r w:rsidRPr="00330272">
        <w:fldChar w:fldCharType="end"/>
      </w:r>
      <w:r w:rsidRPr="00330272">
        <w:t xml:space="preserve">. </w:t>
      </w:r>
      <w:bookmarkStart w:id="3" w:name="_Toc510463201"/>
    </w:p>
    <w:p w14:paraId="163E1A14" w14:textId="4D1B44BA" w:rsidR="001D7E12" w:rsidRPr="00330272" w:rsidRDefault="001D7E12" w:rsidP="00330272">
      <w:r w:rsidRPr="00330272">
        <w:rPr>
          <w:i/>
          <w:iCs/>
        </w:rPr>
        <w:t>Working memory (Backward digit span test)</w:t>
      </w:r>
      <w:bookmarkEnd w:id="3"/>
      <w:r w:rsidRPr="00330272">
        <w:t xml:space="preserve">: Working memory was assessed using the backward digit span test from Wechsler Memory Scale (WMS 3, </w:t>
      </w:r>
      <w:r w:rsidRPr="00330272">
        <w:fldChar w:fldCharType="begin"/>
      </w:r>
      <w:r w:rsidR="00330272" w:rsidRPr="00330272">
        <w:instrText xml:space="preserve"> ADDIN ZOTERO_ITEM CSL_CITATION {"citationID":"zMqjnla7","properties":{"formattedCitation":"(Wechsler, 1997)","plainCitation":"(Wechsler, 1997)","noteIndex":0},"citationItems":[{"id":54,"uris":["http://zotero.org/users/6873236/items/9CV3R9LU"],"uri":["http://zotero.org/users/6873236/items/9CV3R9LU"],"itemData":{"id":54,"type":"book","publisher":"Psychological Corporation San Antonio, TX","source":"Google Scholar","title":"WAiS-iii","author":[{"family":"Wechsler","given":"David"}],"issued":{"date-parts":[["1997"]]}}}],"schema":"https://github.com/citation-style-language/schema/raw/master/csl-citation.json"} </w:instrText>
      </w:r>
      <w:r w:rsidRPr="00330272">
        <w:fldChar w:fldCharType="separate"/>
      </w:r>
      <w:r w:rsidR="00330272" w:rsidRPr="00330272">
        <w:rPr>
          <w:noProof/>
        </w:rPr>
        <w:t>Wechsler, 1997</w:t>
      </w:r>
      <w:r w:rsidRPr="00330272">
        <w:fldChar w:fldCharType="end"/>
      </w:r>
      <w:r w:rsidRPr="00330272">
        <w:t xml:space="preserve">). In this test, participants were verbally presented an increasingly longer series of digits from two to nine with a rate of presentation of one digit per second. Participants were asked to repeat the sequence of the digits in reverse order. The test ended when the participants failed on two consecutive trials at any one span size or when the maximum trial size was reached. The backward digit score was the total number of lists reported correctly in the backward digit span test.  </w:t>
      </w:r>
    </w:p>
    <w:p w14:paraId="4502B781" w14:textId="77777777" w:rsidR="00330272" w:rsidRDefault="00330272">
      <w:pPr>
        <w:rPr>
          <w:rFonts w:cstheme="minorHAnsi"/>
          <w:sz w:val="20"/>
          <w:szCs w:val="20"/>
        </w:rPr>
      </w:pPr>
    </w:p>
    <w:p w14:paraId="215BB6CA" w14:textId="54A47AAA" w:rsidR="003C1F9F" w:rsidRPr="00330272" w:rsidRDefault="00330272">
      <w:pPr>
        <w:rPr>
          <w:rFonts w:cstheme="minorHAnsi"/>
          <w:sz w:val="20"/>
          <w:szCs w:val="20"/>
        </w:rPr>
      </w:pPr>
      <w:r w:rsidRPr="00330272">
        <w:rPr>
          <w:rFonts w:cstheme="minorHAnsi"/>
          <w:sz w:val="20"/>
          <w:szCs w:val="20"/>
        </w:rPr>
        <w:t>References:</w:t>
      </w:r>
    </w:p>
    <w:p w14:paraId="0220D7F5" w14:textId="77777777" w:rsidR="00330272" w:rsidRPr="00330272" w:rsidRDefault="00330272" w:rsidP="00330272">
      <w:pPr>
        <w:pStyle w:val="Bibliography"/>
        <w:rPr>
          <w:rFonts w:cstheme="minorHAnsi"/>
          <w:sz w:val="20"/>
          <w:szCs w:val="20"/>
        </w:rPr>
      </w:pPr>
      <w:r w:rsidRPr="00330272">
        <w:rPr>
          <w:rFonts w:cstheme="minorHAnsi"/>
          <w:sz w:val="20"/>
          <w:szCs w:val="20"/>
          <w:lang w:val="en-US"/>
        </w:rPr>
        <w:fldChar w:fldCharType="begin"/>
      </w:r>
      <w:r w:rsidRPr="00330272">
        <w:rPr>
          <w:rFonts w:cstheme="minorHAnsi"/>
          <w:sz w:val="20"/>
          <w:szCs w:val="20"/>
          <w:lang w:val="en-US"/>
        </w:rPr>
        <w:instrText xml:space="preserve"> ADDIN ZOTERO_BIBL {"uncited":[],"omitted":[],"custom":[]} CSL_BIBLIOGRAPHY </w:instrText>
      </w:r>
      <w:r w:rsidRPr="00330272">
        <w:rPr>
          <w:rFonts w:cstheme="minorHAnsi"/>
          <w:sz w:val="20"/>
          <w:szCs w:val="20"/>
          <w:lang w:val="en-US"/>
        </w:rPr>
        <w:fldChar w:fldCharType="separate"/>
      </w:r>
      <w:r w:rsidRPr="00330272">
        <w:rPr>
          <w:rFonts w:cstheme="minorHAnsi"/>
          <w:sz w:val="20"/>
          <w:szCs w:val="20"/>
        </w:rPr>
        <w:t xml:space="preserve">Faroqi-Shah, Y., Sampson, M., Pranger, M., &amp; Baughman, S. (2018). Cognitive control, word retrieval and bilingual aphasia: Is there a relationship? </w:t>
      </w:r>
      <w:r w:rsidRPr="00330272">
        <w:rPr>
          <w:rFonts w:cstheme="minorHAnsi"/>
          <w:i/>
          <w:iCs/>
          <w:sz w:val="20"/>
          <w:szCs w:val="20"/>
        </w:rPr>
        <w:t>Journal of Neurolinguistics</w:t>
      </w:r>
      <w:r w:rsidRPr="00330272">
        <w:rPr>
          <w:rFonts w:cstheme="minorHAnsi"/>
          <w:sz w:val="20"/>
          <w:szCs w:val="20"/>
        </w:rPr>
        <w:t xml:space="preserve">, </w:t>
      </w:r>
      <w:r w:rsidRPr="00330272">
        <w:rPr>
          <w:rFonts w:cstheme="minorHAnsi"/>
          <w:i/>
          <w:iCs/>
          <w:sz w:val="20"/>
          <w:szCs w:val="20"/>
        </w:rPr>
        <w:t>45</w:t>
      </w:r>
      <w:r w:rsidRPr="00330272">
        <w:rPr>
          <w:rFonts w:cstheme="minorHAnsi"/>
          <w:sz w:val="20"/>
          <w:szCs w:val="20"/>
        </w:rPr>
        <w:t>, 95–109.</w:t>
      </w:r>
    </w:p>
    <w:p w14:paraId="410977D8" w14:textId="77777777" w:rsidR="00330272" w:rsidRPr="00330272" w:rsidRDefault="00330272" w:rsidP="00330272">
      <w:pPr>
        <w:pStyle w:val="Bibliography"/>
        <w:rPr>
          <w:rFonts w:cstheme="minorHAnsi"/>
          <w:sz w:val="20"/>
          <w:szCs w:val="20"/>
        </w:rPr>
      </w:pPr>
      <w:r w:rsidRPr="00330272">
        <w:rPr>
          <w:rFonts w:cstheme="minorHAnsi"/>
          <w:sz w:val="20"/>
          <w:szCs w:val="20"/>
        </w:rPr>
        <w:t xml:space="preserve">Patra, A., Bose, A., &amp; Marinis, T. (2020). Performance difference in verbal fluency in bilingual and monolingual speakers. </w:t>
      </w:r>
      <w:r w:rsidRPr="00330272">
        <w:rPr>
          <w:rFonts w:cstheme="minorHAnsi"/>
          <w:i/>
          <w:iCs/>
          <w:sz w:val="20"/>
          <w:szCs w:val="20"/>
        </w:rPr>
        <w:t>Bilingualism: Language and Cognition</w:t>
      </w:r>
      <w:r w:rsidRPr="00330272">
        <w:rPr>
          <w:rFonts w:cstheme="minorHAnsi"/>
          <w:sz w:val="20"/>
          <w:szCs w:val="20"/>
        </w:rPr>
        <w:t xml:space="preserve">, </w:t>
      </w:r>
      <w:r w:rsidRPr="00330272">
        <w:rPr>
          <w:rFonts w:cstheme="minorHAnsi"/>
          <w:i/>
          <w:iCs/>
          <w:sz w:val="20"/>
          <w:szCs w:val="20"/>
        </w:rPr>
        <w:t>23</w:t>
      </w:r>
      <w:r w:rsidRPr="00330272">
        <w:rPr>
          <w:rFonts w:cstheme="minorHAnsi"/>
          <w:sz w:val="20"/>
          <w:szCs w:val="20"/>
        </w:rPr>
        <w:t>(1), 204–218.</w:t>
      </w:r>
    </w:p>
    <w:p w14:paraId="234768E6" w14:textId="77777777" w:rsidR="00330272" w:rsidRPr="00330272" w:rsidRDefault="00330272" w:rsidP="00330272">
      <w:pPr>
        <w:pStyle w:val="Bibliography"/>
        <w:rPr>
          <w:rFonts w:cstheme="minorHAnsi"/>
          <w:sz w:val="20"/>
          <w:szCs w:val="20"/>
        </w:rPr>
      </w:pPr>
      <w:r w:rsidRPr="00330272">
        <w:rPr>
          <w:rFonts w:cstheme="minorHAnsi"/>
          <w:sz w:val="20"/>
          <w:szCs w:val="20"/>
        </w:rPr>
        <w:t xml:space="preserve">Reitan, R. M. (1986). Theoretical and methodological bases of the Halstead-Reitan neuropsychological test battery. </w:t>
      </w:r>
      <w:r w:rsidRPr="00330272">
        <w:rPr>
          <w:rFonts w:cstheme="minorHAnsi"/>
          <w:i/>
          <w:iCs/>
          <w:sz w:val="20"/>
          <w:szCs w:val="20"/>
        </w:rPr>
        <w:t>Neuropsychological Assessment of Neuropsychiatric Disorders</w:t>
      </w:r>
      <w:r w:rsidRPr="00330272">
        <w:rPr>
          <w:rFonts w:cstheme="minorHAnsi"/>
          <w:sz w:val="20"/>
          <w:szCs w:val="20"/>
        </w:rPr>
        <w:t>, 3–30.</w:t>
      </w:r>
    </w:p>
    <w:p w14:paraId="058FF85B" w14:textId="77777777" w:rsidR="00330272" w:rsidRPr="00330272" w:rsidRDefault="00330272" w:rsidP="00330272">
      <w:pPr>
        <w:pStyle w:val="Bibliography"/>
        <w:rPr>
          <w:rFonts w:cstheme="minorHAnsi"/>
          <w:sz w:val="20"/>
          <w:szCs w:val="20"/>
        </w:rPr>
      </w:pPr>
      <w:r w:rsidRPr="00330272">
        <w:rPr>
          <w:rFonts w:cstheme="minorHAnsi"/>
          <w:sz w:val="20"/>
          <w:szCs w:val="20"/>
        </w:rPr>
        <w:t xml:space="preserve">Salthouse, T. A. (2011). What cognitive abilities are involved in trail-making performance? </w:t>
      </w:r>
      <w:r w:rsidRPr="00330272">
        <w:rPr>
          <w:rFonts w:cstheme="minorHAnsi"/>
          <w:i/>
          <w:iCs/>
          <w:sz w:val="20"/>
          <w:szCs w:val="20"/>
        </w:rPr>
        <w:t>Intelligence</w:t>
      </w:r>
      <w:r w:rsidRPr="00330272">
        <w:rPr>
          <w:rFonts w:cstheme="minorHAnsi"/>
          <w:sz w:val="20"/>
          <w:szCs w:val="20"/>
        </w:rPr>
        <w:t xml:space="preserve">, </w:t>
      </w:r>
      <w:r w:rsidRPr="00330272">
        <w:rPr>
          <w:rFonts w:cstheme="minorHAnsi"/>
          <w:i/>
          <w:iCs/>
          <w:sz w:val="20"/>
          <w:szCs w:val="20"/>
        </w:rPr>
        <w:t>39</w:t>
      </w:r>
      <w:r w:rsidRPr="00330272">
        <w:rPr>
          <w:rFonts w:cstheme="minorHAnsi"/>
          <w:sz w:val="20"/>
          <w:szCs w:val="20"/>
        </w:rPr>
        <w:t>(4), 222–232. https://doi.org/10.1016/j.intell.2011.03.001</w:t>
      </w:r>
    </w:p>
    <w:p w14:paraId="7F376264" w14:textId="77777777" w:rsidR="00330272" w:rsidRPr="00330272" w:rsidRDefault="00330272" w:rsidP="00330272">
      <w:pPr>
        <w:pStyle w:val="Bibliography"/>
        <w:rPr>
          <w:rFonts w:cstheme="minorHAnsi"/>
          <w:sz w:val="20"/>
          <w:szCs w:val="20"/>
        </w:rPr>
      </w:pPr>
      <w:r w:rsidRPr="00330272">
        <w:rPr>
          <w:rFonts w:cstheme="minorHAnsi"/>
          <w:sz w:val="20"/>
          <w:szCs w:val="20"/>
        </w:rPr>
        <w:t xml:space="preserve">Sánchez-Cubillo, I., Periáñez, J. A., Adrover-Roig, D., Rodríguez-Sánchez, J. M., Ríos-Lago, M., Tirapu, J., &amp; Barceló, F. (2009). Construct validity of the Trail Making Test: Role of task-switching, working memory, </w:t>
      </w:r>
      <w:r w:rsidRPr="00330272">
        <w:rPr>
          <w:rFonts w:cstheme="minorHAnsi"/>
          <w:sz w:val="20"/>
          <w:szCs w:val="20"/>
        </w:rPr>
        <w:lastRenderedPageBreak/>
        <w:t xml:space="preserve">inhibition/interference control, and visuomotor abilities. </w:t>
      </w:r>
      <w:r w:rsidRPr="00330272">
        <w:rPr>
          <w:rFonts w:cstheme="minorHAnsi"/>
          <w:i/>
          <w:iCs/>
          <w:sz w:val="20"/>
          <w:szCs w:val="20"/>
        </w:rPr>
        <w:t>Journal of the International Neuropsychological Society</w:t>
      </w:r>
      <w:r w:rsidRPr="00330272">
        <w:rPr>
          <w:rFonts w:cstheme="minorHAnsi"/>
          <w:sz w:val="20"/>
          <w:szCs w:val="20"/>
        </w:rPr>
        <w:t xml:space="preserve">, </w:t>
      </w:r>
      <w:r w:rsidRPr="00330272">
        <w:rPr>
          <w:rFonts w:cstheme="minorHAnsi"/>
          <w:i/>
          <w:iCs/>
          <w:sz w:val="20"/>
          <w:szCs w:val="20"/>
        </w:rPr>
        <w:t>15</w:t>
      </w:r>
      <w:r w:rsidRPr="00330272">
        <w:rPr>
          <w:rFonts w:cstheme="minorHAnsi"/>
          <w:sz w:val="20"/>
          <w:szCs w:val="20"/>
        </w:rPr>
        <w:t>(3), 438–450. https://doi.org/10.1017/S1355617709090626</w:t>
      </w:r>
    </w:p>
    <w:p w14:paraId="0AC6A465" w14:textId="77777777" w:rsidR="00330272" w:rsidRPr="00330272" w:rsidRDefault="00330272" w:rsidP="00330272">
      <w:pPr>
        <w:pStyle w:val="Bibliography"/>
        <w:rPr>
          <w:rFonts w:cstheme="minorHAnsi"/>
          <w:sz w:val="20"/>
          <w:szCs w:val="20"/>
        </w:rPr>
      </w:pPr>
      <w:r w:rsidRPr="00330272">
        <w:rPr>
          <w:rFonts w:cstheme="minorHAnsi"/>
          <w:sz w:val="20"/>
          <w:szCs w:val="20"/>
        </w:rPr>
        <w:t xml:space="preserve">Scott, R. M., &amp; Wilshire, C. E. (2010). Lexical competition for production in a case of nonfluent aphasia: Converging evidence from four different tasks. </w:t>
      </w:r>
      <w:r w:rsidRPr="00330272">
        <w:rPr>
          <w:rFonts w:cstheme="minorHAnsi"/>
          <w:i/>
          <w:iCs/>
          <w:sz w:val="20"/>
          <w:szCs w:val="20"/>
        </w:rPr>
        <w:t>Cognitive Neuropsychology</w:t>
      </w:r>
      <w:r w:rsidRPr="00330272">
        <w:rPr>
          <w:rFonts w:cstheme="minorHAnsi"/>
          <w:sz w:val="20"/>
          <w:szCs w:val="20"/>
        </w:rPr>
        <w:t xml:space="preserve">, </w:t>
      </w:r>
      <w:r w:rsidRPr="00330272">
        <w:rPr>
          <w:rFonts w:cstheme="minorHAnsi"/>
          <w:i/>
          <w:iCs/>
          <w:sz w:val="20"/>
          <w:szCs w:val="20"/>
        </w:rPr>
        <w:t>27</w:t>
      </w:r>
      <w:r w:rsidRPr="00330272">
        <w:rPr>
          <w:rFonts w:cstheme="minorHAnsi"/>
          <w:sz w:val="20"/>
          <w:szCs w:val="20"/>
        </w:rPr>
        <w:t>(6), 505–538.</w:t>
      </w:r>
    </w:p>
    <w:p w14:paraId="019D7928" w14:textId="77777777" w:rsidR="00330272" w:rsidRPr="00330272" w:rsidRDefault="00330272" w:rsidP="00330272">
      <w:pPr>
        <w:pStyle w:val="Bibliography"/>
        <w:rPr>
          <w:rFonts w:cstheme="minorHAnsi"/>
          <w:sz w:val="20"/>
          <w:szCs w:val="20"/>
        </w:rPr>
      </w:pPr>
      <w:r w:rsidRPr="00330272">
        <w:rPr>
          <w:rFonts w:cstheme="minorHAnsi"/>
          <w:sz w:val="20"/>
          <w:szCs w:val="20"/>
        </w:rPr>
        <w:t xml:space="preserve">Wechsler, D. (1997). </w:t>
      </w:r>
      <w:r w:rsidRPr="00330272">
        <w:rPr>
          <w:rFonts w:cstheme="minorHAnsi"/>
          <w:i/>
          <w:iCs/>
          <w:sz w:val="20"/>
          <w:szCs w:val="20"/>
        </w:rPr>
        <w:t>WAiS-iii</w:t>
      </w:r>
      <w:r w:rsidRPr="00330272">
        <w:rPr>
          <w:rFonts w:cstheme="minorHAnsi"/>
          <w:sz w:val="20"/>
          <w:szCs w:val="20"/>
        </w:rPr>
        <w:t>. Psychological Corporation San Antonio, TX.</w:t>
      </w:r>
    </w:p>
    <w:p w14:paraId="31AFB345" w14:textId="0948DC45" w:rsidR="00330272" w:rsidRPr="00330272" w:rsidRDefault="00330272" w:rsidP="00330272">
      <w:pPr>
        <w:autoSpaceDE w:val="0"/>
        <w:autoSpaceDN w:val="0"/>
        <w:adjustRightInd w:val="0"/>
        <w:spacing w:after="0" w:line="240" w:lineRule="auto"/>
        <w:rPr>
          <w:rFonts w:cstheme="minorHAnsi"/>
          <w:sz w:val="18"/>
          <w:szCs w:val="18"/>
          <w:lang w:val="en-US"/>
        </w:rPr>
      </w:pPr>
      <w:r w:rsidRPr="00330272">
        <w:rPr>
          <w:rFonts w:cstheme="minorHAnsi"/>
          <w:sz w:val="20"/>
          <w:szCs w:val="20"/>
          <w:lang w:val="en-US"/>
        </w:rPr>
        <w:fldChar w:fldCharType="end"/>
      </w:r>
    </w:p>
    <w:sectPr w:rsidR="00330272" w:rsidRPr="0033027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1791" w16cex:dateUtc="2020-09-28T12:0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2EE8"/>
    <w:multiLevelType w:val="hybridMultilevel"/>
    <w:tmpl w:val="91003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 w15:restartNumberingAfterBreak="0">
    <w:nsid w:val="38D87A2C"/>
    <w:multiLevelType w:val="hybridMultilevel"/>
    <w:tmpl w:val="1F0A11C8"/>
    <w:lvl w:ilvl="0" w:tplc="2A567B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1536B1"/>
    <w:multiLevelType w:val="hybridMultilevel"/>
    <w:tmpl w:val="B97AF7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2B0513"/>
    <w:multiLevelType w:val="hybridMultilevel"/>
    <w:tmpl w:val="B28E747C"/>
    <w:lvl w:ilvl="0" w:tplc="F2A2BA68">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14B"/>
    <w:rsid w:val="000031CA"/>
    <w:rsid w:val="0002314B"/>
    <w:rsid w:val="000824F9"/>
    <w:rsid w:val="00180FD2"/>
    <w:rsid w:val="00192517"/>
    <w:rsid w:val="001D7E12"/>
    <w:rsid w:val="001E1CC6"/>
    <w:rsid w:val="00201206"/>
    <w:rsid w:val="002068E8"/>
    <w:rsid w:val="00291D88"/>
    <w:rsid w:val="00295A8C"/>
    <w:rsid w:val="00296FA6"/>
    <w:rsid w:val="002A14D1"/>
    <w:rsid w:val="002C7455"/>
    <w:rsid w:val="002F3CA2"/>
    <w:rsid w:val="003279D0"/>
    <w:rsid w:val="00330272"/>
    <w:rsid w:val="00397F0C"/>
    <w:rsid w:val="003B4865"/>
    <w:rsid w:val="003C1F9F"/>
    <w:rsid w:val="003D5C07"/>
    <w:rsid w:val="003D7C4F"/>
    <w:rsid w:val="003F7048"/>
    <w:rsid w:val="004245BF"/>
    <w:rsid w:val="004D5606"/>
    <w:rsid w:val="004D694F"/>
    <w:rsid w:val="004E77A3"/>
    <w:rsid w:val="00516870"/>
    <w:rsid w:val="00532FDF"/>
    <w:rsid w:val="005407C8"/>
    <w:rsid w:val="00592E4D"/>
    <w:rsid w:val="005A539B"/>
    <w:rsid w:val="005E70EB"/>
    <w:rsid w:val="005E7680"/>
    <w:rsid w:val="00602D19"/>
    <w:rsid w:val="006202F2"/>
    <w:rsid w:val="006439DF"/>
    <w:rsid w:val="0064599C"/>
    <w:rsid w:val="00673B18"/>
    <w:rsid w:val="00680D6B"/>
    <w:rsid w:val="006E1E55"/>
    <w:rsid w:val="00707030"/>
    <w:rsid w:val="00712E64"/>
    <w:rsid w:val="007803E3"/>
    <w:rsid w:val="007D40A5"/>
    <w:rsid w:val="0088021C"/>
    <w:rsid w:val="008B78F3"/>
    <w:rsid w:val="009B63C2"/>
    <w:rsid w:val="00A23897"/>
    <w:rsid w:val="00AA59EB"/>
    <w:rsid w:val="00AD1BF1"/>
    <w:rsid w:val="00AE7244"/>
    <w:rsid w:val="00B30057"/>
    <w:rsid w:val="00B3497B"/>
    <w:rsid w:val="00B55F29"/>
    <w:rsid w:val="00BA4DB1"/>
    <w:rsid w:val="00BD0065"/>
    <w:rsid w:val="00BF37D6"/>
    <w:rsid w:val="00C00865"/>
    <w:rsid w:val="00C75470"/>
    <w:rsid w:val="00C97CC9"/>
    <w:rsid w:val="00CB5B36"/>
    <w:rsid w:val="00CB6376"/>
    <w:rsid w:val="00CC4BD5"/>
    <w:rsid w:val="00CF503F"/>
    <w:rsid w:val="00DC4F4D"/>
    <w:rsid w:val="00DE3166"/>
    <w:rsid w:val="00E233F9"/>
    <w:rsid w:val="00E2436E"/>
    <w:rsid w:val="00E25A8F"/>
    <w:rsid w:val="00E50B0A"/>
    <w:rsid w:val="00E64A56"/>
    <w:rsid w:val="00ED229F"/>
    <w:rsid w:val="00EE0834"/>
    <w:rsid w:val="00EE1B1E"/>
    <w:rsid w:val="00EE6056"/>
    <w:rsid w:val="00EF35E2"/>
    <w:rsid w:val="00F14464"/>
    <w:rsid w:val="00F50824"/>
    <w:rsid w:val="00F919CC"/>
    <w:rsid w:val="00F94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E49C"/>
  <w15:chartTrackingRefBased/>
  <w15:docId w15:val="{F2713A40-FC58-46C3-8E76-E4AF1EED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C1F9F"/>
    <w:rPr>
      <w:rFonts w:ascii="Courier New" w:eastAsia="Times New Roman" w:hAnsi="Courier New" w:cs="Courier New"/>
      <w:sz w:val="20"/>
      <w:szCs w:val="20"/>
      <w:lang w:eastAsia="en-GB"/>
    </w:rPr>
  </w:style>
  <w:style w:type="paragraph" w:customStyle="1" w:styleId="Default">
    <w:name w:val="Default"/>
    <w:rsid w:val="00DC4F4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80D6B"/>
    <w:rPr>
      <w:sz w:val="16"/>
      <w:szCs w:val="16"/>
    </w:rPr>
  </w:style>
  <w:style w:type="paragraph" w:styleId="CommentText">
    <w:name w:val="annotation text"/>
    <w:basedOn w:val="Normal"/>
    <w:link w:val="CommentTextChar"/>
    <w:uiPriority w:val="99"/>
    <w:semiHidden/>
    <w:unhideWhenUsed/>
    <w:rsid w:val="00680D6B"/>
    <w:pPr>
      <w:spacing w:line="240" w:lineRule="auto"/>
    </w:pPr>
    <w:rPr>
      <w:sz w:val="20"/>
      <w:szCs w:val="20"/>
    </w:rPr>
  </w:style>
  <w:style w:type="character" w:customStyle="1" w:styleId="CommentTextChar">
    <w:name w:val="Comment Text Char"/>
    <w:basedOn w:val="DefaultParagraphFont"/>
    <w:link w:val="CommentText"/>
    <w:uiPriority w:val="99"/>
    <w:semiHidden/>
    <w:rsid w:val="00680D6B"/>
    <w:rPr>
      <w:sz w:val="20"/>
      <w:szCs w:val="20"/>
    </w:rPr>
  </w:style>
  <w:style w:type="paragraph" w:styleId="BalloonText">
    <w:name w:val="Balloon Text"/>
    <w:basedOn w:val="Normal"/>
    <w:link w:val="BalloonTextChar"/>
    <w:uiPriority w:val="99"/>
    <w:semiHidden/>
    <w:unhideWhenUsed/>
    <w:rsid w:val="0068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D6B"/>
    <w:rPr>
      <w:rFonts w:ascii="Segoe UI" w:hAnsi="Segoe UI" w:cs="Segoe UI"/>
      <w:sz w:val="18"/>
      <w:szCs w:val="18"/>
    </w:rPr>
  </w:style>
  <w:style w:type="paragraph" w:styleId="ListParagraph">
    <w:name w:val="List Paragraph"/>
    <w:basedOn w:val="Normal"/>
    <w:uiPriority w:val="34"/>
    <w:qFormat/>
    <w:rsid w:val="00ED229F"/>
    <w:pPr>
      <w:ind w:left="720"/>
      <w:contextualSpacing/>
    </w:pPr>
  </w:style>
  <w:style w:type="paragraph" w:styleId="CommentSubject">
    <w:name w:val="annotation subject"/>
    <w:basedOn w:val="CommentText"/>
    <w:next w:val="CommentText"/>
    <w:link w:val="CommentSubjectChar"/>
    <w:uiPriority w:val="99"/>
    <w:semiHidden/>
    <w:unhideWhenUsed/>
    <w:rsid w:val="00E2436E"/>
    <w:rPr>
      <w:b/>
      <w:bCs/>
    </w:rPr>
  </w:style>
  <w:style w:type="character" w:customStyle="1" w:styleId="CommentSubjectChar">
    <w:name w:val="Comment Subject Char"/>
    <w:basedOn w:val="CommentTextChar"/>
    <w:link w:val="CommentSubject"/>
    <w:uiPriority w:val="99"/>
    <w:semiHidden/>
    <w:rsid w:val="00E2436E"/>
    <w:rPr>
      <w:b/>
      <w:bCs/>
      <w:sz w:val="20"/>
      <w:szCs w:val="20"/>
    </w:rPr>
  </w:style>
  <w:style w:type="character" w:styleId="Hyperlink">
    <w:name w:val="Hyperlink"/>
    <w:basedOn w:val="DefaultParagraphFont"/>
    <w:uiPriority w:val="99"/>
    <w:unhideWhenUsed/>
    <w:rsid w:val="00296FA6"/>
    <w:rPr>
      <w:color w:val="0563C1" w:themeColor="hyperlink"/>
      <w:u w:val="single"/>
    </w:rPr>
  </w:style>
  <w:style w:type="character" w:customStyle="1" w:styleId="UnresolvedMention1">
    <w:name w:val="Unresolved Mention1"/>
    <w:basedOn w:val="DefaultParagraphFont"/>
    <w:uiPriority w:val="99"/>
    <w:semiHidden/>
    <w:unhideWhenUsed/>
    <w:rsid w:val="00296FA6"/>
    <w:rPr>
      <w:color w:val="605E5C"/>
      <w:shd w:val="clear" w:color="auto" w:fill="E1DFDD"/>
    </w:rPr>
  </w:style>
  <w:style w:type="paragraph" w:customStyle="1" w:styleId="MDPI38bullet">
    <w:name w:val="MDPI_3.8_bullet"/>
    <w:basedOn w:val="Normal"/>
    <w:qFormat/>
    <w:rsid w:val="001D7E12"/>
    <w:pPr>
      <w:numPr>
        <w:numId w:val="5"/>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val="en-US" w:eastAsia="de-DE" w:bidi="en-US"/>
    </w:rPr>
  </w:style>
  <w:style w:type="paragraph" w:customStyle="1" w:styleId="MDPI39equation">
    <w:name w:val="MDPI_3.9_equation"/>
    <w:basedOn w:val="Normal"/>
    <w:qFormat/>
    <w:rsid w:val="001D7E12"/>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basedOn w:val="Normal"/>
    <w:qFormat/>
    <w:rsid w:val="001D7E12"/>
    <w:pPr>
      <w:adjustRightInd w:val="0"/>
      <w:snapToGrid w:val="0"/>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Normal"/>
    <w:qFormat/>
    <w:rsid w:val="001D7E12"/>
    <w:pPr>
      <w:adjustRightInd w:val="0"/>
      <w:snapToGrid w:val="0"/>
      <w:spacing w:before="240" w:after="120" w:line="260" w:lineRule="atLeast"/>
      <w:outlineLvl w:val="2"/>
    </w:pPr>
    <w:rPr>
      <w:rFonts w:ascii="Palatino Linotype" w:eastAsia="Times New Roman" w:hAnsi="Palatino Linotype" w:cs="Times New Roman"/>
      <w:snapToGrid w:val="0"/>
      <w:color w:val="000000"/>
      <w:sz w:val="20"/>
      <w:lang w:val="en-US" w:eastAsia="de-DE" w:bidi="en-US"/>
    </w:rPr>
  </w:style>
  <w:style w:type="paragraph" w:customStyle="1" w:styleId="MDPI31text">
    <w:name w:val="MDPI_3.1_text"/>
    <w:qFormat/>
    <w:rsid w:val="001D7E1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styleId="Bibliography">
    <w:name w:val="Bibliography"/>
    <w:basedOn w:val="Normal"/>
    <w:next w:val="Normal"/>
    <w:uiPriority w:val="37"/>
    <w:unhideWhenUsed/>
    <w:rsid w:val="00330272"/>
    <w:pPr>
      <w:spacing w:after="0" w:line="480" w:lineRule="auto"/>
      <w:ind w:left="720" w:hanging="720"/>
    </w:pPr>
  </w:style>
  <w:style w:type="character" w:customStyle="1" w:styleId="readingnameffec7bddb21ee52d9e7fb5cb0a7e9392">
    <w:name w:val="reading_name_ffec7bddb21ee52d9e7fb5cb0a7e9392"/>
    <w:basedOn w:val="DefaultParagraphFont"/>
    <w:rsid w:val="00AD1BF1"/>
  </w:style>
  <w:style w:type="character" w:customStyle="1" w:styleId="personname">
    <w:name w:val="person_name"/>
    <w:basedOn w:val="DefaultParagraphFont"/>
    <w:rsid w:val="00AD1BF1"/>
  </w:style>
  <w:style w:type="character" w:customStyle="1" w:styleId="readingname728b86a618c4f47ea42cc18dad18b405">
    <w:name w:val="reading_name_728b86a618c4f47ea42cc18dad18b405"/>
    <w:basedOn w:val="DefaultParagraphFont"/>
    <w:rsid w:val="00AD1BF1"/>
  </w:style>
  <w:style w:type="character" w:customStyle="1" w:styleId="readingname715bd2b2ca2808a2cf11eb5af33f114a">
    <w:name w:val="reading_name_715bd2b2ca2808a2cf11eb5af33f114a"/>
    <w:basedOn w:val="DefaultParagraphFont"/>
    <w:rsid w:val="00AD1BF1"/>
  </w:style>
  <w:style w:type="character" w:styleId="Emphasis">
    <w:name w:val="Emphasis"/>
    <w:basedOn w:val="DefaultParagraphFont"/>
    <w:uiPriority w:val="20"/>
    <w:qFormat/>
    <w:rsid w:val="00AD1BF1"/>
    <w:rPr>
      <w:i/>
      <w:iCs/>
    </w:rPr>
  </w:style>
  <w:style w:type="character" w:styleId="FollowedHyperlink">
    <w:name w:val="FollowedHyperlink"/>
    <w:basedOn w:val="DefaultParagraphFont"/>
    <w:uiPriority w:val="99"/>
    <w:semiHidden/>
    <w:unhideWhenUsed/>
    <w:rsid w:val="00AD1B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7804">
      <w:bodyDiv w:val="1"/>
      <w:marLeft w:val="0"/>
      <w:marRight w:val="0"/>
      <w:marTop w:val="0"/>
      <w:marBottom w:val="0"/>
      <w:divBdr>
        <w:top w:val="none" w:sz="0" w:space="0" w:color="auto"/>
        <w:left w:val="none" w:sz="0" w:space="0" w:color="auto"/>
        <w:bottom w:val="none" w:sz="0" w:space="0" w:color="auto"/>
        <w:right w:val="none" w:sz="0" w:space="0" w:color="auto"/>
      </w:divBdr>
    </w:div>
    <w:div w:id="18613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aur.reading.ac.uk/view/creators/90008018.html" TargetMode="External"/><Relationship Id="rId13" Type="http://schemas.openxmlformats.org/officeDocument/2006/relationships/hyperlink" Target="https://creativecommons.org/licenses/by/4.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3390/bs10100155" TargetMode="Externa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entaur.reading.ac.uk/9330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centaur.reading.ac.uk/view/creators/90000477.html" TargetMode="External"/><Relationship Id="rId4" Type="http://schemas.openxmlformats.org/officeDocument/2006/relationships/numbering" Target="numbering.xml"/><Relationship Id="rId9" Type="http://schemas.openxmlformats.org/officeDocument/2006/relationships/hyperlink" Target="http://centaur.reading.ac.uk/view/creators/9000371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3" ma:contentTypeDescription="Create a new document." ma:contentTypeScope="" ma:versionID="65f857cc979b9f98ebc425749f573f84">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10c0cd714a1c353924acb1365f489d82"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C1F34-3964-4A72-A4E1-E24F60B45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0DFC2-95A7-43B5-AFC8-94FFA54C5D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4B7F12-1C73-4C45-BD12-F71BA8E86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Bose</dc:creator>
  <cp:keywords/>
  <dc:description/>
  <cp:lastModifiedBy>Robert Darby</cp:lastModifiedBy>
  <cp:revision>2</cp:revision>
  <dcterms:created xsi:type="dcterms:W3CDTF">2020-10-14T10:18:00Z</dcterms:created>
  <dcterms:modified xsi:type="dcterms:W3CDTF">2020-10-14T10:18:00Z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id="cXQbNVEr"/&gt;&lt;style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0x0101006C2F7E18F99B554BA7E8B4CB7D5983E9</vt:lpwstr>
  </property>
</Properties>
</file>