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FA973" w14:textId="77777777" w:rsidR="002E4467" w:rsidRPr="00401A5F" w:rsidRDefault="002E4467" w:rsidP="002E4467">
      <w:pPr>
        <w:jc w:val="both"/>
        <w:rPr>
          <w:b/>
        </w:rPr>
      </w:pPr>
      <w:r w:rsidRPr="00401A5F">
        <w:rPr>
          <w:b/>
        </w:rPr>
        <w:t>1. ABOUT THE DATASET</w:t>
      </w:r>
    </w:p>
    <w:p w14:paraId="00747AD8" w14:textId="70973884" w:rsidR="002E4467" w:rsidRDefault="002E4467" w:rsidP="002E4467">
      <w:pPr>
        <w:jc w:val="both"/>
      </w:pPr>
      <w:r>
        <w:t>-----------------------------------------------------------------</w:t>
      </w:r>
    </w:p>
    <w:p w14:paraId="0C84B69B" w14:textId="03D6C889" w:rsidR="002E4467" w:rsidRDefault="002E4467" w:rsidP="002E4467">
      <w:pPr>
        <w:jc w:val="both"/>
      </w:pPr>
      <w:r>
        <w:t>T</w:t>
      </w:r>
      <w:r w:rsidR="00286FD5">
        <w:t>itle: Dataset supporting paper ‘</w:t>
      </w:r>
      <w:r>
        <w:t>Circulating extracellular vesicles are strongly associated wi</w:t>
      </w:r>
      <w:r w:rsidR="00286FD5">
        <w:t>th cardiovascular risk markers’</w:t>
      </w:r>
    </w:p>
    <w:p w14:paraId="651DBDF2" w14:textId="523C6592" w:rsidR="002E4467" w:rsidRPr="007959C3" w:rsidRDefault="002E4467" w:rsidP="002E4467">
      <w:pPr>
        <w:jc w:val="both"/>
        <w:rPr>
          <w:lang w:val="pt-PT"/>
        </w:rPr>
      </w:pPr>
      <w:r w:rsidRPr="007959C3">
        <w:rPr>
          <w:lang w:val="pt-PT"/>
        </w:rPr>
        <w:t>Creator(s): Ruihan Zhou</w:t>
      </w:r>
      <w:r w:rsidR="00434E08" w:rsidRPr="007959C3">
        <w:rPr>
          <w:lang w:val="pt-PT"/>
        </w:rPr>
        <w:t xml:space="preserve">; </w:t>
      </w:r>
      <w:r w:rsidR="00464D77" w:rsidRPr="007959C3">
        <w:rPr>
          <w:lang w:val="pt-PT"/>
        </w:rPr>
        <w:t>Esra Bozbas</w:t>
      </w:r>
    </w:p>
    <w:p w14:paraId="22684954" w14:textId="77939BC9" w:rsidR="002E4467" w:rsidRDefault="002E4467" w:rsidP="002E4467">
      <w:pPr>
        <w:jc w:val="both"/>
      </w:pPr>
      <w:r>
        <w:t>Organisation: University of Reading, Reading, United Kingdom</w:t>
      </w:r>
    </w:p>
    <w:p w14:paraId="3270D939" w14:textId="5F5D2D18" w:rsidR="002E4467" w:rsidRDefault="002E4467" w:rsidP="002E4467">
      <w:pPr>
        <w:jc w:val="both"/>
      </w:pPr>
      <w:r>
        <w:t>Rights-holders: University of Reading</w:t>
      </w:r>
      <w:r w:rsidR="007D7ADF">
        <w:t xml:space="preserve"> and Esra Bozbas</w:t>
      </w:r>
    </w:p>
    <w:p w14:paraId="2BC8A373" w14:textId="6FEAA8E6" w:rsidR="00195FD3" w:rsidRPr="002E4467" w:rsidRDefault="002E4467" w:rsidP="002E4467">
      <w:pPr>
        <w:jc w:val="both"/>
      </w:pPr>
      <w:r>
        <w:t>Publication Year: 2022</w:t>
      </w:r>
    </w:p>
    <w:p w14:paraId="2BC8A375" w14:textId="1358A651" w:rsidR="00D332CB" w:rsidRDefault="00D332CB" w:rsidP="00B87B25">
      <w:pPr>
        <w:jc w:val="both"/>
      </w:pPr>
      <w:r w:rsidRPr="00D332CB">
        <w:t xml:space="preserve">Description: This dataset includes all reports and summaries of raw data supporting the results presented in </w:t>
      </w:r>
      <w:r>
        <w:t xml:space="preserve">the </w:t>
      </w:r>
      <w:r w:rsidR="00286FD5">
        <w:t>paper ‘</w:t>
      </w:r>
      <w:r w:rsidRPr="00D332CB">
        <w:t>Circulating extracellular vesicles are strongly associated w</w:t>
      </w:r>
      <w:r w:rsidR="00286FD5">
        <w:t>ith cardiovascular risk markers’</w:t>
      </w:r>
      <w:r w:rsidRPr="00D332CB">
        <w:t xml:space="preserve">. </w:t>
      </w:r>
      <w:r>
        <w:t xml:space="preserve">The objective of this paper is to investigate </w:t>
      </w:r>
      <w:r w:rsidRPr="00D332CB">
        <w:t xml:space="preserve">the relationships between circulating </w:t>
      </w:r>
      <w:r>
        <w:t>extracellular vesicles (</w:t>
      </w:r>
      <w:r w:rsidRPr="00D332CB">
        <w:t>EVs</w:t>
      </w:r>
      <w:r>
        <w:t>)</w:t>
      </w:r>
      <w:r w:rsidRPr="00D332CB">
        <w:t xml:space="preserve">, conventional cardiovascular risk markers and thrombogenic markers in subjects with moderate risk of </w:t>
      </w:r>
      <w:r>
        <w:t>cardiovascular diseases (</w:t>
      </w:r>
      <w:r w:rsidRPr="00D332CB">
        <w:t>CVDs</w:t>
      </w:r>
      <w:r>
        <w:t>)</w:t>
      </w:r>
      <w:r w:rsidR="00CC2F5D">
        <w:t xml:space="preserve">, which is the part aim of a larger </w:t>
      </w:r>
      <w:r w:rsidR="00406C07">
        <w:t>study</w:t>
      </w:r>
      <w:r w:rsidR="00CC2F5D">
        <w:t xml:space="preserve"> investigating the effect of f</w:t>
      </w:r>
      <w:r w:rsidR="00CC2F5D" w:rsidRPr="00CC2F5D">
        <w:t xml:space="preserve">ish </w:t>
      </w:r>
      <w:r w:rsidR="00CC2F5D">
        <w:t>o</w:t>
      </w:r>
      <w:r w:rsidR="00CC2F5D" w:rsidRPr="00CC2F5D">
        <w:t>il-</w:t>
      </w:r>
      <w:r w:rsidR="00CC2F5D">
        <w:t>d</w:t>
      </w:r>
      <w:r w:rsidR="00CC2F5D" w:rsidRPr="00CC2F5D">
        <w:t xml:space="preserve">erived </w:t>
      </w:r>
      <w:r w:rsidR="00CC2F5D">
        <w:t>n</w:t>
      </w:r>
      <w:r w:rsidR="00CC2F5D" w:rsidRPr="00CC2F5D">
        <w:t xml:space="preserve">-3 </w:t>
      </w:r>
      <w:r w:rsidR="00CC2F5D">
        <w:t>p</w:t>
      </w:r>
      <w:r w:rsidR="00CC2F5D" w:rsidRPr="00CC2F5D">
        <w:t xml:space="preserve">olyunsaturated </w:t>
      </w:r>
      <w:r w:rsidR="00CC2F5D">
        <w:t>f</w:t>
      </w:r>
      <w:r w:rsidR="00CC2F5D" w:rsidRPr="00CC2F5D">
        <w:t xml:space="preserve">atty </w:t>
      </w:r>
      <w:r w:rsidR="00CC2F5D">
        <w:t>a</w:t>
      </w:r>
      <w:r w:rsidR="00CC2F5D" w:rsidRPr="00CC2F5D">
        <w:t xml:space="preserve">cids on the </w:t>
      </w:r>
      <w:r w:rsidR="00CC2F5D">
        <w:t>g</w:t>
      </w:r>
      <w:r w:rsidR="00CC2F5D" w:rsidRPr="00CC2F5D">
        <w:t xml:space="preserve">eneration and </w:t>
      </w:r>
      <w:r w:rsidR="00CC2F5D">
        <w:t>f</w:t>
      </w:r>
      <w:r w:rsidR="00CC2F5D" w:rsidRPr="00CC2F5D">
        <w:t xml:space="preserve">unctional </w:t>
      </w:r>
      <w:r w:rsidR="00CC2F5D">
        <w:t>a</w:t>
      </w:r>
      <w:r w:rsidR="00CC2F5D" w:rsidRPr="00CC2F5D">
        <w:t xml:space="preserve">ctivities of </w:t>
      </w:r>
      <w:r w:rsidR="00CC2F5D">
        <w:t>EVs</w:t>
      </w:r>
      <w:r w:rsidR="00406C07">
        <w:t xml:space="preserve"> based on </w:t>
      </w:r>
      <w:r w:rsidR="00406C07" w:rsidRPr="00406C07">
        <w:t xml:space="preserve">a randomised, double-blind, placebo-controlled crossover intervention. </w:t>
      </w:r>
      <w:r w:rsidR="00406C07">
        <w:t>The results and findings involved in this dataset</w:t>
      </w:r>
      <w:r w:rsidR="00406C07" w:rsidRPr="00406C07">
        <w:t xml:space="preserve"> relate only to the baseline data prior to any intervention. </w:t>
      </w:r>
      <w:r w:rsidR="00406C07">
        <w:t xml:space="preserve">A </w:t>
      </w:r>
      <w:r w:rsidR="00406C07" w:rsidRPr="00406C07">
        <w:t>total of 40 subjects (aged 40~70yrs) with moderate risk of CVDs</w:t>
      </w:r>
      <w:r w:rsidR="00406C07">
        <w:t xml:space="preserve"> were</w:t>
      </w:r>
      <w:r w:rsidR="00406C07" w:rsidRPr="00406C07">
        <w:t xml:space="preserve"> recruited</w:t>
      </w:r>
      <w:r w:rsidR="00406C07">
        <w:t xml:space="preserve"> and involved in the study. A</w:t>
      </w:r>
      <w:r w:rsidR="00406C07" w:rsidRPr="00406C07">
        <w:t>pproximately 100ml of blood was collected from individuals after overnight fasting for all analysis</w:t>
      </w:r>
      <w:r w:rsidR="00406C07">
        <w:t>, in which</w:t>
      </w:r>
      <w:r w:rsidR="00406C07" w:rsidRPr="00406C07">
        <w:t xml:space="preserve"> 35ml was processed for the analysis of circulating EVs</w:t>
      </w:r>
      <w:r w:rsidR="00406C07">
        <w:t>,</w:t>
      </w:r>
      <w:r w:rsidR="00406C07" w:rsidRPr="00406C07">
        <w:t xml:space="preserve"> 9ml was taken for</w:t>
      </w:r>
      <w:r w:rsidR="00406C07">
        <w:t xml:space="preserve"> the</w:t>
      </w:r>
      <w:r w:rsidR="00406C07" w:rsidRPr="00406C07">
        <w:t xml:space="preserve"> analysis of blood lipids and glucose levels for the conventional cardiovascular markers evaluation</w:t>
      </w:r>
      <w:r w:rsidR="00406C07">
        <w:t xml:space="preserve"> and the rest was operated for the</w:t>
      </w:r>
      <w:r w:rsidR="00406C07" w:rsidRPr="00406C07">
        <w:t xml:space="preserve"> </w:t>
      </w:r>
      <w:r w:rsidR="00406C07" w:rsidRPr="00D332CB">
        <w:t>thrombogenic markers</w:t>
      </w:r>
      <w:r w:rsidR="00406C07" w:rsidRPr="00406C07">
        <w:t xml:space="preserve"> </w:t>
      </w:r>
      <w:r w:rsidR="00406C07">
        <w:t>evaluation.</w:t>
      </w:r>
      <w:r w:rsidR="00CC6614">
        <w:t xml:space="preserve"> </w:t>
      </w:r>
      <w:r>
        <w:t xml:space="preserve">Data about EVs </w:t>
      </w:r>
      <w:r w:rsidR="001675F7">
        <w:t xml:space="preserve">parameters </w:t>
      </w:r>
      <w:r>
        <w:t xml:space="preserve">include: i. the numbers and size of circulating total EVs measured by </w:t>
      </w:r>
      <w:r w:rsidRPr="00D332CB">
        <w:t>Nanoparticle Tracking Analysis (NTA)</w:t>
      </w:r>
      <w:r>
        <w:t xml:space="preserve">; ii. the numbers of EV subpopulations (i.e. </w:t>
      </w:r>
      <w:r w:rsidRPr="00D332CB">
        <w:t>phosphatidylserine</w:t>
      </w:r>
      <w:r>
        <w:t>-positive EVs</w:t>
      </w:r>
      <w:r w:rsidR="001F6677">
        <w:t xml:space="preserve"> (PS+EVs)</w:t>
      </w:r>
      <w:r>
        <w:t xml:space="preserve">, platelet-derived EVs </w:t>
      </w:r>
      <w:r w:rsidR="001F6677">
        <w:t xml:space="preserve">(PDEVs) </w:t>
      </w:r>
      <w:r>
        <w:t>and endothelial-derived EVs</w:t>
      </w:r>
      <w:r w:rsidR="001F6677">
        <w:t xml:space="preserve"> (EDEVs)</w:t>
      </w:r>
      <w:r>
        <w:t xml:space="preserve">) measured by </w:t>
      </w:r>
      <w:r>
        <w:rPr>
          <w:rFonts w:cs="Times New Roman"/>
        </w:rPr>
        <w:t>flow cytometry (FCM)</w:t>
      </w:r>
      <w:r>
        <w:t xml:space="preserve">; iii. </w:t>
      </w:r>
      <w:r w:rsidRPr="00D332CB">
        <w:t>the procoagulatory activity of circulating EVs</w:t>
      </w:r>
      <w:r>
        <w:t xml:space="preserve"> </w:t>
      </w:r>
      <w:r>
        <w:rPr>
          <w:rFonts w:hint="eastAsia"/>
        </w:rPr>
        <w:t>(</w:t>
      </w:r>
      <w:r w:rsidRPr="00D332CB">
        <w:rPr>
          <w:i/>
        </w:rPr>
        <w:t>in vitro</w:t>
      </w:r>
      <w:r w:rsidRPr="00D332CB">
        <w:t xml:space="preserve"> thrombogenic potential in activating </w:t>
      </w:r>
      <w:r>
        <w:t xml:space="preserve">tissue factor-dependent </w:t>
      </w:r>
      <w:r w:rsidRPr="00D332CB">
        <w:t>thrombin generation</w:t>
      </w:r>
      <w:r>
        <w:t xml:space="preserve">) measured by </w:t>
      </w:r>
      <w:r w:rsidRPr="00D332CB">
        <w:t>thrombin generation assay</w:t>
      </w:r>
      <w:r>
        <w:t xml:space="preserve">. Data about conventional cardiovascular risk markers include i. </w:t>
      </w:r>
      <w:r w:rsidRPr="00D332CB">
        <w:t>body mass index (BMI)</w:t>
      </w:r>
      <w:r>
        <w:t xml:space="preserve"> measured by Tanita; ii. </w:t>
      </w:r>
      <w:r w:rsidRPr="00D332CB">
        <w:t xml:space="preserve">blood pressure </w:t>
      </w:r>
      <w:r>
        <w:t>measured by</w:t>
      </w:r>
      <w:r w:rsidRPr="00D332CB">
        <w:t xml:space="preserve"> </w:t>
      </w:r>
      <w:r>
        <w:t>u</w:t>
      </w:r>
      <w:r w:rsidRPr="00D332CB">
        <w:t xml:space="preserve">pper </w:t>
      </w:r>
      <w:r>
        <w:t>a</w:t>
      </w:r>
      <w:r w:rsidRPr="00D332CB">
        <w:t xml:space="preserve">rm </w:t>
      </w:r>
      <w:r>
        <w:t>b</w:t>
      </w:r>
      <w:r w:rsidRPr="00D332CB">
        <w:t xml:space="preserve">lood </w:t>
      </w:r>
      <w:r>
        <w:t>p</w:t>
      </w:r>
      <w:r w:rsidRPr="00D332CB">
        <w:t>ressure</w:t>
      </w:r>
      <w:r>
        <w:t xml:space="preserve"> monitor; iii. plasma lipid profile (i.e. </w:t>
      </w:r>
      <w:r w:rsidRPr="00D332CB">
        <w:t>triacylglycerol (TAG), total cholesterol (TC), high-density lipoprotein cholesterol (HDL-C)</w:t>
      </w:r>
      <w:r w:rsidR="007959C3">
        <w:rPr>
          <w:rFonts w:hint="eastAsia"/>
        </w:rPr>
        <w:t>)</w:t>
      </w:r>
      <w:r w:rsidRPr="00D332CB">
        <w:t xml:space="preserve">, and glucose concentrations </w:t>
      </w:r>
      <w:r>
        <w:t>measured by</w:t>
      </w:r>
      <w:r w:rsidRPr="00D332CB">
        <w:t xml:space="preserve"> iLab</w:t>
      </w:r>
      <w:r w:rsidR="00081064">
        <w:t xml:space="preserve">; iv. </w:t>
      </w:r>
      <w:r w:rsidR="00081064" w:rsidRPr="00081064">
        <w:t>10-year CVD risk detected by QRISK2</w:t>
      </w:r>
      <w:r w:rsidR="00081064">
        <w:t xml:space="preserve"> scoring system.</w:t>
      </w:r>
      <w:r>
        <w:t xml:space="preserve"> Data about </w:t>
      </w:r>
      <w:r w:rsidRPr="00D332CB">
        <w:t>thrombogenic markers</w:t>
      </w:r>
      <w:r>
        <w:t xml:space="preserve"> include: </w:t>
      </w:r>
      <w:r w:rsidR="001675F7">
        <w:t xml:space="preserve">i. plasma </w:t>
      </w:r>
      <w:r w:rsidRPr="00D332CB">
        <w:t>platelet aggregation</w:t>
      </w:r>
      <w:r w:rsidR="001675F7">
        <w:t xml:space="preserve"> measured by </w:t>
      </w:r>
      <w:r w:rsidR="000C0C2D" w:rsidRPr="000C0C2D">
        <w:t>96-well high-throughput aggregometry</w:t>
      </w:r>
      <w:r w:rsidR="001675F7">
        <w:t xml:space="preserve">; ii. plasma thrombin generation measured by </w:t>
      </w:r>
      <w:r w:rsidR="001675F7" w:rsidRPr="00D332CB">
        <w:t>thrombin generation assay</w:t>
      </w:r>
      <w:r w:rsidR="001675F7">
        <w:t>; iii. plasma c</w:t>
      </w:r>
      <w:r w:rsidR="001675F7" w:rsidRPr="001675F7">
        <w:t>lot growth and fibrinolysis</w:t>
      </w:r>
      <w:r w:rsidR="001675F7">
        <w:t xml:space="preserve"> measured by </w:t>
      </w:r>
      <w:r w:rsidR="001675F7" w:rsidRPr="001675F7">
        <w:t xml:space="preserve">thrombodynamics </w:t>
      </w:r>
      <w:r w:rsidR="00841E9F" w:rsidRPr="001675F7">
        <w:t>analyser</w:t>
      </w:r>
      <w:r w:rsidR="001675F7">
        <w:t>.</w:t>
      </w:r>
    </w:p>
    <w:p w14:paraId="23C1740C" w14:textId="19FCBC7B" w:rsidR="00401A5F" w:rsidRDefault="00401A5F" w:rsidP="00401A5F">
      <w:pPr>
        <w:jc w:val="both"/>
      </w:pPr>
      <w:r>
        <w:t xml:space="preserve">Cite as: </w:t>
      </w:r>
      <w:r w:rsidR="00464D77" w:rsidRPr="00464D77">
        <w:t>Zhou, Ruihan</w:t>
      </w:r>
      <w:r w:rsidR="00CC6614">
        <w:t xml:space="preserve"> and</w:t>
      </w:r>
      <w:r w:rsidR="00464D77" w:rsidRPr="00464D77">
        <w:t xml:space="preserve"> Bozbas, Esra (2</w:t>
      </w:r>
      <w:r w:rsidR="00286FD5">
        <w:t>022): Dataset supporting paper ‘</w:t>
      </w:r>
      <w:r w:rsidR="00464D77" w:rsidRPr="00464D77">
        <w:t xml:space="preserve">Circulating extracellular vesicles are strongly associated with cardiovascular risk </w:t>
      </w:r>
      <w:r w:rsidR="00286FD5">
        <w:t>markers’</w:t>
      </w:r>
      <w:r w:rsidR="00464D77">
        <w:t xml:space="preserve">. University of </w:t>
      </w:r>
      <w:bookmarkStart w:id="0" w:name="_GoBack"/>
      <w:r w:rsidR="00464D77">
        <w:t>Reading</w:t>
      </w:r>
      <w:r>
        <w:t xml:space="preserve">. Dataset. https://doi.org/10.17864/1947.000366. </w:t>
      </w:r>
    </w:p>
    <w:p w14:paraId="0888C81B" w14:textId="00837069" w:rsidR="00401A5F" w:rsidRDefault="00401A5F" w:rsidP="00401A5F">
      <w:pPr>
        <w:jc w:val="both"/>
      </w:pPr>
      <w:r>
        <w:t xml:space="preserve">Related publication: </w:t>
      </w:r>
      <w:r w:rsidR="00A70885" w:rsidRPr="00464D77">
        <w:t>Zhou, Ruihan, Bozbas, Esra</w:t>
      </w:r>
      <w:r w:rsidR="00A70885">
        <w:t>,</w:t>
      </w:r>
      <w:r w:rsidR="00A70885" w:rsidRPr="00464D77">
        <w:t xml:space="preserve"> </w:t>
      </w:r>
      <w:r w:rsidR="00A70885">
        <w:t>Allen-Redpath, Keith</w:t>
      </w:r>
      <w:r w:rsidR="00A70885" w:rsidRPr="00464D77">
        <w:t xml:space="preserve"> and Yaqoob, Parveen</w:t>
      </w:r>
      <w:r w:rsidR="00A70885">
        <w:t xml:space="preserve"> </w:t>
      </w:r>
      <w:r>
        <w:t>(2022)</w:t>
      </w:r>
      <w:r w:rsidR="00A70885">
        <w:t>.</w:t>
      </w:r>
      <w:r>
        <w:t xml:space="preserve"> Circulating extracellular vesicles are strongly associated with cardiovascular risk markers (In preparation).</w:t>
      </w:r>
    </w:p>
    <w:bookmarkEnd w:id="0"/>
    <w:p w14:paraId="34A50AC2" w14:textId="77777777" w:rsidR="00D62379" w:rsidRPr="00CC6614" w:rsidRDefault="00D62379" w:rsidP="00401A5F">
      <w:pPr>
        <w:jc w:val="both"/>
      </w:pPr>
    </w:p>
    <w:p w14:paraId="5A6A53D7" w14:textId="77777777" w:rsidR="00401A5F" w:rsidRPr="00401A5F" w:rsidRDefault="00401A5F" w:rsidP="00401A5F">
      <w:pPr>
        <w:jc w:val="both"/>
        <w:rPr>
          <w:b/>
        </w:rPr>
      </w:pPr>
      <w:r w:rsidRPr="00401A5F">
        <w:rPr>
          <w:b/>
        </w:rPr>
        <w:lastRenderedPageBreak/>
        <w:t>2. TERMS OF USE</w:t>
      </w:r>
    </w:p>
    <w:p w14:paraId="1303816C" w14:textId="77777777" w:rsidR="00401A5F" w:rsidRDefault="00401A5F" w:rsidP="00401A5F">
      <w:pPr>
        <w:jc w:val="both"/>
      </w:pPr>
      <w:r>
        <w:t>-----------------------------------------------------------------</w:t>
      </w:r>
    </w:p>
    <w:p w14:paraId="50CCC182" w14:textId="1F16ABFC" w:rsidR="00401A5F" w:rsidRDefault="00401A5F" w:rsidP="00401A5F">
      <w:pPr>
        <w:jc w:val="both"/>
      </w:pPr>
      <w:r>
        <w:t>Copyright 2022 University of Reading</w:t>
      </w:r>
      <w:r w:rsidR="00E70120">
        <w:t xml:space="preserve">; </w:t>
      </w:r>
      <w:r w:rsidR="00E70120" w:rsidRPr="00464D77">
        <w:t>Esra Bozbas</w:t>
      </w:r>
      <w:r>
        <w:t>. This dataset is licensed under a Creative Commons Attribution 4.0 International Licence: https://creativecommons.org/licenses/by/4.0/.</w:t>
      </w:r>
    </w:p>
    <w:p w14:paraId="37351F60" w14:textId="77777777" w:rsidR="006C230C" w:rsidRDefault="006C230C" w:rsidP="00401A5F">
      <w:pPr>
        <w:jc w:val="both"/>
        <w:rPr>
          <w:b/>
        </w:rPr>
      </w:pPr>
    </w:p>
    <w:p w14:paraId="5B3718A9" w14:textId="77777777" w:rsidR="00401A5F" w:rsidRPr="00401A5F" w:rsidRDefault="00401A5F" w:rsidP="00401A5F">
      <w:pPr>
        <w:jc w:val="both"/>
        <w:rPr>
          <w:b/>
        </w:rPr>
      </w:pPr>
      <w:r w:rsidRPr="00401A5F">
        <w:rPr>
          <w:b/>
        </w:rPr>
        <w:t>3. PROJECT AND FUNDING INFORMATION</w:t>
      </w:r>
    </w:p>
    <w:p w14:paraId="7999B585" w14:textId="77777777" w:rsidR="00401A5F" w:rsidRDefault="00401A5F" w:rsidP="00401A5F">
      <w:pPr>
        <w:jc w:val="both"/>
      </w:pPr>
      <w:r>
        <w:t>-----------------------------------------------------------------</w:t>
      </w:r>
    </w:p>
    <w:p w14:paraId="0630E7C3" w14:textId="77777777" w:rsidR="00401A5F" w:rsidRDefault="00401A5F" w:rsidP="00401A5F">
      <w:pPr>
        <w:jc w:val="both"/>
      </w:pPr>
      <w:r>
        <w:t xml:space="preserve">Title: Effects of Fish Oil-derived N-3 Polyunsaturated Fatty Acids on the Generation and Functional Activities of Extracellular Vesicles </w:t>
      </w:r>
    </w:p>
    <w:p w14:paraId="014C3B9D" w14:textId="77777777" w:rsidR="00401A5F" w:rsidRDefault="00401A5F" w:rsidP="00401A5F">
      <w:pPr>
        <w:jc w:val="both"/>
      </w:pPr>
      <w:r>
        <w:t>Dates: February 2018-March 2021</w:t>
      </w:r>
    </w:p>
    <w:p w14:paraId="26B6D624" w14:textId="77777777" w:rsidR="00401A5F" w:rsidRDefault="00401A5F" w:rsidP="00401A5F">
      <w:pPr>
        <w:jc w:val="both"/>
      </w:pPr>
      <w:r>
        <w:t>Funding organisation: Biotechnology and Biological Sciences Research Council (BBSRC)</w:t>
      </w:r>
    </w:p>
    <w:p w14:paraId="2BC8A386" w14:textId="18D5B212" w:rsidR="00195FD3" w:rsidRPr="007959C3" w:rsidRDefault="00401A5F" w:rsidP="00401A5F">
      <w:pPr>
        <w:jc w:val="both"/>
        <w:rPr>
          <w:lang w:val="pt-PT"/>
        </w:rPr>
      </w:pPr>
      <w:r w:rsidRPr="007959C3">
        <w:rPr>
          <w:lang w:val="pt-PT"/>
        </w:rPr>
        <w:t>Grant no.: BB/N021185/1</w:t>
      </w:r>
    </w:p>
    <w:p w14:paraId="465C343A" w14:textId="77777777" w:rsidR="00401A5F" w:rsidRPr="007959C3" w:rsidRDefault="00401A5F" w:rsidP="00401A5F">
      <w:pPr>
        <w:jc w:val="both"/>
        <w:rPr>
          <w:lang w:val="pt-PT"/>
        </w:rPr>
      </w:pPr>
    </w:p>
    <w:p w14:paraId="4743C8AC" w14:textId="77777777" w:rsidR="00401A5F" w:rsidRPr="007959C3" w:rsidRDefault="00401A5F" w:rsidP="00401A5F">
      <w:pPr>
        <w:jc w:val="both"/>
        <w:rPr>
          <w:b/>
          <w:lang w:val="pt-PT"/>
        </w:rPr>
      </w:pPr>
      <w:r w:rsidRPr="007959C3">
        <w:rPr>
          <w:b/>
          <w:lang w:val="pt-PT"/>
        </w:rPr>
        <w:t>4. CONTENTS</w:t>
      </w:r>
    </w:p>
    <w:p w14:paraId="0BD004FE" w14:textId="77777777" w:rsidR="00401A5F" w:rsidRPr="007959C3" w:rsidRDefault="00401A5F" w:rsidP="00401A5F">
      <w:pPr>
        <w:jc w:val="both"/>
        <w:rPr>
          <w:lang w:val="pt-PT"/>
        </w:rPr>
      </w:pPr>
      <w:r w:rsidRPr="007959C3">
        <w:rPr>
          <w:lang w:val="pt-PT"/>
        </w:rPr>
        <w:t>-----------------------------------------------------------------</w:t>
      </w:r>
    </w:p>
    <w:p w14:paraId="2BC8A389" w14:textId="7EFAC8D8" w:rsidR="00195FD3" w:rsidRDefault="00195FD3" w:rsidP="00401A5F">
      <w:pPr>
        <w:jc w:val="both"/>
        <w:rPr>
          <w:b/>
        </w:rPr>
      </w:pPr>
      <w:r w:rsidRPr="00081064">
        <w:rPr>
          <w:b/>
        </w:rPr>
        <w:t xml:space="preserve">1. </w:t>
      </w:r>
      <w:r w:rsidR="006C1606">
        <w:rPr>
          <w:b/>
        </w:rPr>
        <w:t>Data_</w:t>
      </w:r>
      <w:r w:rsidRPr="001675F7">
        <w:rPr>
          <w:b/>
        </w:rPr>
        <w:t>Summary</w:t>
      </w:r>
      <w:r>
        <w:rPr>
          <w:b/>
        </w:rPr>
        <w:t>.csv (file)</w:t>
      </w:r>
    </w:p>
    <w:p w14:paraId="2BC8A38A" w14:textId="77777777" w:rsidR="00195FD3" w:rsidRDefault="00195FD3" w:rsidP="00195FD3">
      <w:pPr>
        <w:jc w:val="both"/>
      </w:pPr>
      <w:r w:rsidRPr="00081064">
        <w:t xml:space="preserve"> A summary of all data related to EVs parameters, conventional cardiovascular risk markers and thrombogenic markers</w:t>
      </w:r>
      <w:r>
        <w:t>.</w:t>
      </w:r>
    </w:p>
    <w:p w14:paraId="2BC8A38B" w14:textId="77777777" w:rsidR="00195FD3" w:rsidRDefault="00195FD3" w:rsidP="00195FD3">
      <w:pPr>
        <w:jc w:val="both"/>
      </w:pPr>
      <w:r>
        <w:t>*HF03 has dropped out</w:t>
      </w:r>
    </w:p>
    <w:p w14:paraId="2BC8A38C" w14:textId="77777777" w:rsidR="00195FD3" w:rsidRDefault="00195FD3" w:rsidP="00195FD3">
      <w:pPr>
        <w:jc w:val="both"/>
      </w:pPr>
      <w:r>
        <w:t xml:space="preserve">*Missing results for HF02 in </w:t>
      </w:r>
      <w:r w:rsidRPr="00081064">
        <w:t>EV thrombogenic potential</w:t>
      </w:r>
    </w:p>
    <w:p w14:paraId="2BC8A38D" w14:textId="77777777" w:rsidR="00195FD3" w:rsidRPr="00081064" w:rsidRDefault="00195FD3" w:rsidP="00195FD3">
      <w:pPr>
        <w:jc w:val="both"/>
        <w:rPr>
          <w:i/>
        </w:rPr>
      </w:pPr>
      <w:r>
        <w:t xml:space="preserve">Abbreviation: </w:t>
      </w:r>
      <w:r w:rsidRPr="00081064">
        <w:rPr>
          <w:i/>
        </w:rPr>
        <w:t xml:space="preserve">ADP, adenosine diphosphate; BMI, body mass index; CRP-XL, cross-linked collagen-related peptide; DBP, diastolic blood pressure; </w:t>
      </w:r>
      <w:r w:rsidRPr="006F7A9E">
        <w:rPr>
          <w:i/>
        </w:rPr>
        <w:t>EC50,</w:t>
      </w:r>
      <w:r w:rsidRPr="006F7A9E">
        <w:t xml:space="preserve"> </w:t>
      </w:r>
      <w:r>
        <w:rPr>
          <w:i/>
        </w:rPr>
        <w:t>h</w:t>
      </w:r>
      <w:r w:rsidRPr="006F7A9E">
        <w:rPr>
          <w:i/>
        </w:rPr>
        <w:t xml:space="preserve">alf </w:t>
      </w:r>
      <w:r>
        <w:rPr>
          <w:i/>
        </w:rPr>
        <w:t xml:space="preserve">maximal effective concentration; </w:t>
      </w:r>
      <w:r w:rsidRPr="00081064">
        <w:rPr>
          <w:i/>
        </w:rPr>
        <w:t>EDEV, endothelial-derived extracellular vesicles; EPI, epinephrine; ETP, endogenous thrombin potential;  FCM, flow cytometry; HDL-C, high-density lipoprotein cholesterol; NTA, nanopartic le tracking analysis; PDEVs,  platelet-derived extracellular vesicles; PS+EVs, phosphatidylserine positive extracellular vesicles; SBP, systolic blood pressure; TAG, triacylglycerol; TC, total cholesterol; TEVs, total extracellular vesicles; TRAP-6, thrombin receptor-activated peptide 6.</w:t>
      </w:r>
    </w:p>
    <w:p w14:paraId="2BC8A38E" w14:textId="2EF4F167" w:rsidR="00195FD3" w:rsidRDefault="006C1606" w:rsidP="00195FD3">
      <w:pPr>
        <w:jc w:val="both"/>
        <w:rPr>
          <w:b/>
        </w:rPr>
      </w:pPr>
      <w:r>
        <w:rPr>
          <w:b/>
        </w:rPr>
        <w:t>2. NTA_</w:t>
      </w:r>
      <w:r w:rsidR="00195FD3" w:rsidRPr="00081064">
        <w:rPr>
          <w:b/>
        </w:rPr>
        <w:t>data (</w:t>
      </w:r>
      <w:r w:rsidR="00CE7C6E">
        <w:rPr>
          <w:b/>
        </w:rPr>
        <w:t>zip</w:t>
      </w:r>
      <w:r w:rsidR="00195FD3" w:rsidRPr="00081064">
        <w:rPr>
          <w:b/>
        </w:rPr>
        <w:t>)</w:t>
      </w:r>
    </w:p>
    <w:p w14:paraId="2BC8A38F" w14:textId="1FC3ACEF" w:rsidR="00195FD3" w:rsidRDefault="006C1606" w:rsidP="00195FD3">
      <w:pPr>
        <w:jc w:val="both"/>
        <w:rPr>
          <w:b/>
        </w:rPr>
      </w:pPr>
      <w:r>
        <w:rPr>
          <w:b/>
        </w:rPr>
        <w:t>2.1 NTA_data_</w:t>
      </w:r>
      <w:r w:rsidR="00195FD3">
        <w:rPr>
          <w:b/>
        </w:rPr>
        <w:t>report (folder)</w:t>
      </w:r>
    </w:p>
    <w:p w14:paraId="2BC8A390" w14:textId="2907FAC7" w:rsidR="00195FD3" w:rsidRDefault="00195FD3" w:rsidP="00195FD3">
      <w:pPr>
        <w:jc w:val="both"/>
      </w:pPr>
      <w:r w:rsidRPr="00886FD7">
        <w:t xml:space="preserve">Raw data exported by </w:t>
      </w:r>
      <w:r w:rsidRPr="001F6677">
        <w:t>NTA 3.20 instrument software</w:t>
      </w:r>
      <w:r w:rsidRPr="00886FD7">
        <w:t xml:space="preserve"> illustrating the numbers of total events and events ranging 70nm-1000nm, and mean/mode size of events</w:t>
      </w:r>
      <w:r>
        <w:t xml:space="preserve"> detected by </w:t>
      </w:r>
      <w:r w:rsidR="00286FD5">
        <w:t>NTA. In each HFXX folder, file ‘</w:t>
      </w:r>
      <w:r>
        <w:t xml:space="preserve">FraX (fractions isolated by </w:t>
      </w:r>
      <w:r w:rsidRPr="00886FD7">
        <w:t>size exclusion chromatography</w:t>
      </w:r>
      <w:r w:rsidR="00841E9F">
        <w:t xml:space="preserve"> before NTA analysis)_</w:t>
      </w:r>
      <w:r>
        <w:t>D</w:t>
      </w:r>
      <w:r w:rsidRPr="00886FD7">
        <w:t>ilute</w:t>
      </w:r>
      <w:r w:rsidR="006C1606">
        <w:t xml:space="preserve"> factor (diluted with PBS)_</w:t>
      </w:r>
      <w:r w:rsidR="00E5120E">
        <w:t>total_events_and_</w:t>
      </w:r>
      <w:r w:rsidR="0023767C">
        <w:t>size</w:t>
      </w:r>
      <w:r w:rsidR="00286FD5">
        <w:t>’</w:t>
      </w:r>
      <w:r w:rsidR="0023767C">
        <w:t xml:space="preserve"> </w:t>
      </w:r>
      <w:r>
        <w:t>provides the results of total events numbers and mean/mo</w:t>
      </w:r>
      <w:r w:rsidR="00286FD5">
        <w:t>de size in each fraction; file ‘</w:t>
      </w:r>
      <w:r>
        <w:t xml:space="preserve">FraX (fractions isolated by </w:t>
      </w:r>
      <w:r w:rsidRPr="00886FD7">
        <w:t>size exclusion chromatography</w:t>
      </w:r>
      <w:r>
        <w:t xml:space="preserve"> before NTA analysis)_D</w:t>
      </w:r>
      <w:r w:rsidRPr="00886FD7">
        <w:t>ilute</w:t>
      </w:r>
      <w:r w:rsidR="006C1606">
        <w:t xml:space="preserve"> factor (diluted with </w:t>
      </w:r>
      <w:r w:rsidR="006C1606">
        <w:lastRenderedPageBreak/>
        <w:t>PBS)_</w:t>
      </w:r>
      <w:r>
        <w:t>events</w:t>
      </w:r>
      <w:r w:rsidR="00E5120E">
        <w:t>_</w:t>
      </w:r>
      <w:r>
        <w:t>(70nm-1000nm)</w:t>
      </w:r>
      <w:r w:rsidR="00286FD5">
        <w:t>’</w:t>
      </w:r>
      <w:r w:rsidRPr="00DA4212">
        <w:t xml:space="preserve"> </w:t>
      </w:r>
      <w:r>
        <w:t>provides the results of events ranging 70nm-1000nm numbers in each fraction.</w:t>
      </w:r>
    </w:p>
    <w:p w14:paraId="2BC8A391" w14:textId="77777777" w:rsidR="00195FD3" w:rsidRPr="00886FD7" w:rsidRDefault="00195FD3" w:rsidP="00195FD3">
      <w:pPr>
        <w:jc w:val="both"/>
      </w:pPr>
      <w:r>
        <w:t>*HF03 has dropped out</w:t>
      </w:r>
    </w:p>
    <w:p w14:paraId="2BC8A392" w14:textId="51FB999A" w:rsidR="00195FD3" w:rsidRPr="00081064" w:rsidRDefault="006C1606" w:rsidP="00195FD3">
      <w:pPr>
        <w:jc w:val="both"/>
        <w:rPr>
          <w:b/>
        </w:rPr>
      </w:pPr>
      <w:r>
        <w:rPr>
          <w:b/>
        </w:rPr>
        <w:t>2.2 NTA_</w:t>
      </w:r>
      <w:r w:rsidR="00841E9F">
        <w:rPr>
          <w:b/>
        </w:rPr>
        <w:t>data</w:t>
      </w:r>
      <w:r w:rsidR="00195FD3" w:rsidRPr="000102C0">
        <w:rPr>
          <w:b/>
        </w:rPr>
        <w:t>.xlsx</w:t>
      </w:r>
      <w:r w:rsidR="00195FD3">
        <w:rPr>
          <w:b/>
        </w:rPr>
        <w:t xml:space="preserve"> (file)</w:t>
      </w:r>
    </w:p>
    <w:p w14:paraId="2BC8A393" w14:textId="4DDF3930" w:rsidR="00195FD3" w:rsidRDefault="006C230C" w:rsidP="00195FD3">
      <w:pPr>
        <w:jc w:val="both"/>
      </w:pPr>
      <w:r w:rsidRPr="007D2736">
        <w:rPr>
          <w:rFonts w:cstheme="min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8A3C0" wp14:editId="4481F904">
                <wp:simplePos x="0" y="0"/>
                <wp:positionH relativeFrom="margin">
                  <wp:posOffset>-616161</wp:posOffset>
                </wp:positionH>
                <wp:positionV relativeFrom="paragraph">
                  <wp:posOffset>767715</wp:posOffset>
                </wp:positionV>
                <wp:extent cx="6362700" cy="315807"/>
                <wp:effectExtent l="0" t="0" r="0" b="0"/>
                <wp:wrapNone/>
                <wp:docPr id="58" name="标题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62700" cy="3158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8A3CA" w14:textId="77777777" w:rsidR="00195FD3" w:rsidRPr="007D2736" w:rsidRDefault="00195FD3" w:rsidP="00195FD3">
                            <w:pPr>
                              <w:pStyle w:val="a4"/>
                              <w:spacing w:after="0" w:line="216" w:lineRule="auto"/>
                              <w:ind w:firstLine="960"/>
                              <w:jc w:val="center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  <w:r w:rsidRPr="004D6BF6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Total events/Events (70nm-1000nm) X Dilution factor = Total particles /TEVs per ml PFP</w:t>
                            </w:r>
                            <w:r w:rsidRPr="007D2736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C8A3C0" id="标题 1" o:spid="_x0000_s1026" style="position:absolute;left:0;text-align:left;margin-left:-48.5pt;margin-top:60.45pt;width:501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" filled="f" stroked="f">
                <o:lock v:ext="edit" grouping="t"/>
                <v:textbox>
                  <w:txbxContent>
                    <w:p w14:paraId="2BC8A3CA" w14:textId="77777777" w:rsidR="00195FD3" w:rsidRPr="007D2736" w:rsidRDefault="00195FD3" w:rsidP="00195FD3">
                      <w:pPr>
                        <w:pStyle w:val="NormalWeb"/>
                        <w:spacing w:after="0" w:line="216" w:lineRule="auto"/>
                        <w:ind w:firstLine="960"/>
                        <w:jc w:val="center"/>
                        <w:rPr>
                          <w:rFonts w:asciiTheme="minorHAnsi" w:hAnsiTheme="minorHAnsi" w:cstheme="minorHAnsi"/>
                          <w:szCs w:val="22"/>
                        </w:rPr>
                      </w:pPr>
                      <w:r w:rsidRPr="004D6BF6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Total events/Events (70nm-1000nm) X Dilution factor = Total particles /TEVs per ml PFP</w:t>
                      </w:r>
                      <w:r w:rsidRPr="007D2736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5FD3">
        <w:t xml:space="preserve">A spreadsheet illustrating how raw data exported by </w:t>
      </w:r>
      <w:r w:rsidR="00195FD3" w:rsidRPr="001F6677">
        <w:t>NTA 3.20 instrument software</w:t>
      </w:r>
      <w:r w:rsidR="00195FD3">
        <w:t xml:space="preserve"> were calculated to final results of TEV numbers. Th</w:t>
      </w:r>
      <w:r w:rsidR="0023767C">
        <w:t xml:space="preserve">e Total events columns, Events </w:t>
      </w:r>
      <w:r w:rsidR="00195FD3" w:rsidRPr="00C92330">
        <w:t>(70nm-1000nm)</w:t>
      </w:r>
      <w:r w:rsidR="00195FD3">
        <w:t xml:space="preserve"> columns and Dilution factor columns </w:t>
      </w:r>
      <w:r w:rsidR="00195FD3" w:rsidRPr="00C92330">
        <w:t>were recorded based on the corresponding report</w:t>
      </w:r>
      <w:r w:rsidR="0023767C">
        <w:t>s</w:t>
      </w:r>
      <w:r w:rsidR="00195FD3" w:rsidRPr="00C92330">
        <w:t xml:space="preserve"> mentioned above</w:t>
      </w:r>
      <w:r w:rsidR="00195FD3">
        <w:t xml:space="preserve">. Total particles /TEVs per ml PFP was calculated as </w:t>
      </w:r>
    </w:p>
    <w:p w14:paraId="2BC8A394" w14:textId="1DA651A5" w:rsidR="00195FD3" w:rsidRDefault="00195FD3" w:rsidP="00195FD3">
      <w:pPr>
        <w:jc w:val="both"/>
      </w:pPr>
    </w:p>
    <w:p w14:paraId="2BC8A395" w14:textId="77777777" w:rsidR="00195FD3" w:rsidRDefault="00195FD3" w:rsidP="00195FD3">
      <w:pPr>
        <w:jc w:val="both"/>
      </w:pPr>
      <w:r>
        <w:t>Then all frac of</w:t>
      </w:r>
      <w:r w:rsidRPr="004D6BF6">
        <w:t xml:space="preserve"> </w:t>
      </w:r>
      <w:r>
        <w:t xml:space="preserve">Total particles /TEVs per ml PFP were </w:t>
      </w:r>
      <w:r w:rsidRPr="004D6BF6">
        <w:t>summed</w:t>
      </w:r>
      <w:r>
        <w:t xml:space="preserve"> in Total row. Total particles /TEVs per ml blood was calculated as</w:t>
      </w:r>
    </w:p>
    <w:p w14:paraId="2BC8A396" w14:textId="77777777" w:rsidR="00195FD3" w:rsidRDefault="00195FD3" w:rsidP="00195FD3">
      <w:pPr>
        <w:jc w:val="both"/>
      </w:pPr>
      <w:r w:rsidRPr="007D2736">
        <w:rPr>
          <w:rFonts w:cstheme="min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A3C2" wp14:editId="2BC8A3C3">
                <wp:simplePos x="0" y="0"/>
                <wp:positionH relativeFrom="margin">
                  <wp:posOffset>-372110</wp:posOffset>
                </wp:positionH>
                <wp:positionV relativeFrom="paragraph">
                  <wp:posOffset>4656</wp:posOffset>
                </wp:positionV>
                <wp:extent cx="6057900" cy="491067"/>
                <wp:effectExtent l="0" t="0" r="0" b="0"/>
                <wp:wrapNone/>
                <wp:docPr id="59" name="标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910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8A3CB" w14:textId="77777777" w:rsidR="00195FD3" w:rsidRPr="000C3B09" w:rsidRDefault="00195FD3" w:rsidP="00195FD3">
                            <w:pPr>
                              <w:pStyle w:val="a4"/>
                              <w:spacing w:after="0"/>
                              <w:ind w:firstLine="520"/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0C3B09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Total particles /TEVs per ml PFP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HAnsi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m:t>×</m:t>
                              </m:r>
                            </m:oMath>
                            <w:r w:rsidRPr="000C3B09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Total volume of blood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Total volume of plasma</m:t>
                                  </m:r>
                                </m:den>
                              </m:f>
                            </m:oMath>
                            <w:r w:rsidRPr="000C3B09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= </w:t>
                            </w:r>
                            <w:r w:rsidRPr="000C3B0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Total particles /TEVs per ml </w:t>
                            </w:r>
                            <w:r w:rsidRPr="000C3B09">
                              <w:rPr>
                                <w:rFonts w:asciiTheme="minorHAnsi" w:hAnsiTheme="minorHAnsi" w:cstheme="minorHAnsi"/>
                              </w:rPr>
                              <w:t>blood</w:t>
                            </w:r>
                          </w:p>
                          <w:p w14:paraId="2BC8A3CC" w14:textId="77777777" w:rsidR="00195FD3" w:rsidRPr="000C3B09" w:rsidRDefault="00195FD3" w:rsidP="00195FD3">
                            <w:pPr>
                              <w:pStyle w:val="a4"/>
                              <w:spacing w:after="0"/>
                              <w:ind w:firstLine="52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C8A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9.3pt;margin-top:.35pt;width:477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" filled="f" stroked="f">
                <v:textbox>
                  <w:txbxContent>
                    <w:p w14:paraId="2BC8A3CB" w14:textId="77777777" w:rsidR="00195FD3" w:rsidRPr="000C3B09" w:rsidRDefault="00195FD3" w:rsidP="00195FD3">
                      <w:pPr>
                        <w:pStyle w:val="NormalWeb"/>
                        <w:spacing w:after="0"/>
                        <w:ind w:firstLine="520"/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Cs w:val="22"/>
                        </w:rPr>
                      </w:pPr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Total </w:t>
                      </w:r>
                      <w:proofErr w:type="spellStart"/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particles</w:t>
                      </w:r>
                      <w:proofErr w:type="spellEnd"/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TEVs</w:t>
                      </w:r>
                      <w:proofErr w:type="spellEnd"/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per ml PFP </w:t>
                      </w:r>
                      <m:oMath>
                        <m:r>
                          <w:rPr>
                            <w:rFonts w:ascii="Cambria Math" w:eastAsia="Cambria Math" w:hAnsi="Cambria Math" w:cstheme="minorHAnsi"/>
                            <w:color w:val="000000" w:themeColor="text1"/>
                            <w:kern w:val="24"/>
                            <w:sz w:val="21"/>
                            <w:szCs w:val="22"/>
                          </w:rPr>
                          <m:t>×</m:t>
                        </m:r>
                      </m:oMath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Total volume of blood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Total volume of plasma</m:t>
                            </m:r>
                          </m:den>
                        </m:f>
                      </m:oMath>
                      <w:r w:rsidRPr="000C3B09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= </w:t>
                      </w:r>
                      <w:r w:rsidRPr="000C3B09">
                        <w:rPr>
                          <w:rFonts w:asciiTheme="minorHAnsi" w:hAnsiTheme="minorHAnsi" w:cstheme="minorHAnsi"/>
                          <w:sz w:val="22"/>
                        </w:rPr>
                        <w:t xml:space="preserve">Total </w:t>
                      </w:r>
                      <w:proofErr w:type="spellStart"/>
                      <w:r w:rsidRPr="000C3B09">
                        <w:rPr>
                          <w:rFonts w:asciiTheme="minorHAnsi" w:hAnsiTheme="minorHAnsi" w:cstheme="minorHAnsi"/>
                          <w:sz w:val="22"/>
                        </w:rPr>
                        <w:t>particles</w:t>
                      </w:r>
                      <w:proofErr w:type="spellEnd"/>
                      <w:r w:rsidRPr="000C3B09">
                        <w:rPr>
                          <w:rFonts w:asciiTheme="minorHAnsi" w:hAnsiTheme="minorHAnsi" w:cstheme="minorHAnsi"/>
                          <w:sz w:val="22"/>
                        </w:rPr>
                        <w:t xml:space="preserve"> /</w:t>
                      </w:r>
                      <w:proofErr w:type="spellStart"/>
                      <w:r w:rsidRPr="000C3B09">
                        <w:rPr>
                          <w:rFonts w:asciiTheme="minorHAnsi" w:hAnsiTheme="minorHAnsi" w:cstheme="minorHAnsi"/>
                          <w:sz w:val="22"/>
                        </w:rPr>
                        <w:t>TEVs</w:t>
                      </w:r>
                      <w:proofErr w:type="spellEnd"/>
                      <w:r w:rsidRPr="000C3B09">
                        <w:rPr>
                          <w:rFonts w:asciiTheme="minorHAnsi" w:hAnsiTheme="minorHAnsi" w:cstheme="minorHAnsi"/>
                          <w:sz w:val="22"/>
                        </w:rPr>
                        <w:t xml:space="preserve"> per ml </w:t>
                      </w:r>
                      <w:proofErr w:type="spellStart"/>
                      <w:r w:rsidRPr="000C3B09">
                        <w:rPr>
                          <w:rFonts w:asciiTheme="minorHAnsi" w:hAnsiTheme="minorHAnsi" w:cstheme="minorHAnsi"/>
                        </w:rPr>
                        <w:t>blood</w:t>
                      </w:r>
                      <w:proofErr w:type="spellEnd"/>
                    </w:p>
                    <w:p w14:paraId="2BC8A3CC" w14:textId="77777777" w:rsidR="00195FD3" w:rsidRPr="000C3B09" w:rsidRDefault="00195FD3" w:rsidP="00195FD3">
                      <w:pPr>
                        <w:pStyle w:val="NormalWeb"/>
                        <w:spacing w:after="0"/>
                        <w:ind w:firstLine="5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8A397" w14:textId="77777777" w:rsidR="00195FD3" w:rsidRDefault="00195FD3" w:rsidP="00195FD3">
      <w:pPr>
        <w:jc w:val="both"/>
      </w:pPr>
    </w:p>
    <w:p w14:paraId="2BC8A398" w14:textId="77777777" w:rsidR="00195FD3" w:rsidRDefault="00195FD3" w:rsidP="00195FD3">
      <w:pPr>
        <w:jc w:val="both"/>
      </w:pPr>
      <w:r>
        <w:t>The mean size/mode size of EVs was averaged by the Mean size/Mode size of all frac.</w:t>
      </w:r>
    </w:p>
    <w:p w14:paraId="2BC8A399" w14:textId="43D0B0FF" w:rsidR="00195FD3" w:rsidRDefault="00195FD3" w:rsidP="00195FD3">
      <w:pPr>
        <w:jc w:val="both"/>
      </w:pPr>
      <w:r>
        <w:t xml:space="preserve">*Bold values were finally recorded in </w:t>
      </w:r>
      <w:r w:rsidRPr="004D6BF6">
        <w:t>Data</w:t>
      </w:r>
      <w:r w:rsidR="006D4C5E">
        <w:t>_</w:t>
      </w:r>
      <w:r w:rsidRPr="004D6BF6">
        <w:t>Summary.csv</w:t>
      </w:r>
      <w:r>
        <w:t xml:space="preserve"> and applied in statistical analysis.</w:t>
      </w:r>
    </w:p>
    <w:p w14:paraId="2BC8A39A" w14:textId="77777777" w:rsidR="00195FD3" w:rsidRDefault="00195FD3" w:rsidP="00195FD3">
      <w:pPr>
        <w:jc w:val="both"/>
      </w:pPr>
      <w:r>
        <w:t>*HF03 has dropped out</w:t>
      </w:r>
    </w:p>
    <w:p w14:paraId="2BC8A39B" w14:textId="77777777" w:rsidR="009C2758" w:rsidRPr="00081064" w:rsidRDefault="009C2758" w:rsidP="009C2758">
      <w:pPr>
        <w:jc w:val="both"/>
        <w:rPr>
          <w:i/>
        </w:rPr>
      </w:pPr>
      <w:r>
        <w:t xml:space="preserve">Abbreviation: </w:t>
      </w:r>
      <w:r w:rsidRPr="00081064">
        <w:rPr>
          <w:i/>
        </w:rPr>
        <w:t>P</w:t>
      </w:r>
      <w:r>
        <w:rPr>
          <w:i/>
        </w:rPr>
        <w:t>FP</w:t>
      </w:r>
      <w:r>
        <w:rPr>
          <w:rFonts w:hint="eastAsia"/>
          <w:i/>
        </w:rPr>
        <w:t>,</w:t>
      </w:r>
      <w:r>
        <w:rPr>
          <w:i/>
        </w:rPr>
        <w:t xml:space="preserve"> platelet-free plasma;</w:t>
      </w:r>
      <w:r w:rsidRPr="00081064">
        <w:rPr>
          <w:i/>
        </w:rPr>
        <w:t xml:space="preserve"> TEVs, total extracellular vesicles</w:t>
      </w:r>
      <w:r>
        <w:rPr>
          <w:i/>
        </w:rPr>
        <w:t>.</w:t>
      </w:r>
    </w:p>
    <w:p w14:paraId="2BC8A39D" w14:textId="7BFBEF32" w:rsidR="00195FD3" w:rsidRDefault="00195FD3" w:rsidP="00195FD3">
      <w:pPr>
        <w:jc w:val="both"/>
        <w:rPr>
          <w:b/>
        </w:rPr>
      </w:pPr>
      <w:r>
        <w:rPr>
          <w:b/>
        </w:rPr>
        <w:t>3</w:t>
      </w:r>
      <w:r w:rsidRPr="00081064">
        <w:rPr>
          <w:b/>
        </w:rPr>
        <w:t xml:space="preserve">. </w:t>
      </w:r>
      <w:r>
        <w:rPr>
          <w:b/>
        </w:rPr>
        <w:t>FCM</w:t>
      </w:r>
      <w:r w:rsidR="00286FD5">
        <w:rPr>
          <w:b/>
        </w:rPr>
        <w:t>_</w:t>
      </w:r>
      <w:r w:rsidRPr="00081064">
        <w:rPr>
          <w:b/>
        </w:rPr>
        <w:t>data (</w:t>
      </w:r>
      <w:r w:rsidR="00CE7C6E">
        <w:rPr>
          <w:b/>
        </w:rPr>
        <w:t>zip</w:t>
      </w:r>
      <w:r w:rsidRPr="00081064">
        <w:rPr>
          <w:b/>
        </w:rPr>
        <w:t>)</w:t>
      </w:r>
    </w:p>
    <w:p w14:paraId="2BC8A39E" w14:textId="2BF3D975" w:rsidR="00195FD3" w:rsidRDefault="00286FD5" w:rsidP="00195FD3">
      <w:pPr>
        <w:jc w:val="both"/>
        <w:rPr>
          <w:b/>
        </w:rPr>
      </w:pPr>
      <w:r>
        <w:rPr>
          <w:b/>
        </w:rPr>
        <w:t>3.1 FCM_data_</w:t>
      </w:r>
      <w:r w:rsidR="00195FD3">
        <w:rPr>
          <w:b/>
        </w:rPr>
        <w:t>report (folder)</w:t>
      </w:r>
    </w:p>
    <w:p w14:paraId="2BC8A39F" w14:textId="5E374640" w:rsidR="00195FD3" w:rsidRPr="00C92330" w:rsidRDefault="00195FD3" w:rsidP="00195FD3">
      <w:pPr>
        <w:jc w:val="both"/>
      </w:pPr>
      <w:r w:rsidRPr="00DA4212">
        <w:t>Raw data exported by BD FACSDiva™ Software illustrating the numbers of PS+EVs, PDEVs and EDEVs detect</w:t>
      </w:r>
      <w:r w:rsidR="00841E9F">
        <w:t xml:space="preserve">ed by FCM. In each pdf report, </w:t>
      </w:r>
      <w:r w:rsidRPr="00DA4212">
        <w:t>top left figure refers to all particles detected within an initial EV size gate on side scatter mode; top right figure refers to all Allophycocyannin (APC) fluorescently labelled particles detected on fluorescence mode</w:t>
      </w:r>
      <w:r>
        <w:t xml:space="preserve">; </w:t>
      </w:r>
      <w:r w:rsidR="0023767C">
        <w:t>bottom</w:t>
      </w:r>
      <w:r>
        <w:t xml:space="preserve"> left</w:t>
      </w:r>
      <w:r w:rsidRPr="00DA4212">
        <w:t xml:space="preserve"> figure refers to all </w:t>
      </w:r>
      <w:r>
        <w:t>APC and/or P</w:t>
      </w:r>
      <w:r w:rsidRPr="00DA4212">
        <w:t xml:space="preserve">hycoerythrin </w:t>
      </w:r>
      <w:r>
        <w:t>(</w:t>
      </w:r>
      <w:r w:rsidRPr="00DA4212">
        <w:t>PE</w:t>
      </w:r>
      <w:r>
        <w:t xml:space="preserve">) </w:t>
      </w:r>
      <w:r w:rsidRPr="00DA4212">
        <w:t>fluorescently labelled particles detected on fluorescence mode</w:t>
      </w:r>
      <w:r>
        <w:t xml:space="preserve">; </w:t>
      </w:r>
      <w:r w:rsidR="0023767C">
        <w:t>bottom</w:t>
      </w:r>
      <w:r w:rsidRPr="00DA4212">
        <w:t xml:space="preserve"> right figure refers to all </w:t>
      </w:r>
      <w:r>
        <w:t>APC and/or P</w:t>
      </w:r>
      <w:r w:rsidRPr="00DA4212">
        <w:t>acific Blue (PB) fluorescently labelled particles detected on fluorescence mode</w:t>
      </w:r>
      <w:r>
        <w:t xml:space="preserve">. </w:t>
      </w:r>
      <w:r w:rsidRPr="00DA4212">
        <w:t xml:space="preserve">In each HFXX folder, </w:t>
      </w:r>
      <w:r w:rsidR="00286FD5">
        <w:t>file ‘</w:t>
      </w:r>
      <w:r w:rsidR="006C1606">
        <w:t>HFX_AnnV_</w:t>
      </w:r>
      <w:r w:rsidR="00286FD5">
        <w:t>control_APC’</w:t>
      </w:r>
      <w:r>
        <w:t xml:space="preserve"> provides results of </w:t>
      </w:r>
      <w:r w:rsidRPr="00DA4212">
        <w:t>particle</w:t>
      </w:r>
      <w:r>
        <w:t>s</w:t>
      </w:r>
      <w:r w:rsidRPr="00DA4212">
        <w:t xml:space="preserve"> numbers </w:t>
      </w:r>
      <w:r>
        <w:t xml:space="preserve">(P1 and top right figure) </w:t>
      </w:r>
      <w:r w:rsidRPr="00DA4212">
        <w:t>displayed in AnnV negative control</w:t>
      </w:r>
      <w:r w:rsidR="00286FD5">
        <w:t>; file ‘</w:t>
      </w:r>
      <w:r w:rsidRPr="00DA4212">
        <w:t>HF</w:t>
      </w:r>
      <w:r>
        <w:t>XX</w:t>
      </w:r>
      <w:r w:rsidR="006C1606">
        <w:t>_AnnV+events_and_AnnV+CD41+</w:t>
      </w:r>
      <w:r w:rsidRPr="00DA4212">
        <w:t>events_APC</w:t>
      </w:r>
      <w:r w:rsidR="00286FD5">
        <w:t>’</w:t>
      </w:r>
      <w:r>
        <w:t xml:space="preserve"> provides results of all AnnV+particles </w:t>
      </w:r>
      <w:r w:rsidRPr="00DA4212">
        <w:t xml:space="preserve">numbers </w:t>
      </w:r>
      <w:r>
        <w:t xml:space="preserve">(P1 and top right figure) and </w:t>
      </w:r>
      <w:r w:rsidRPr="00DA4212">
        <w:t>AnnV+CD41+</w:t>
      </w:r>
      <w:r>
        <w:t xml:space="preserve"> particles (i.e. PDEVs) numbers (P4 and </w:t>
      </w:r>
      <w:r w:rsidR="0023767C">
        <w:t>bottom</w:t>
      </w:r>
      <w:r>
        <w:t xml:space="preserve"> left figure) displ</w:t>
      </w:r>
      <w:r w:rsidR="00286FD5">
        <w:t>ayed in main sample tube; file ‘</w:t>
      </w:r>
      <w:r w:rsidR="006C1606">
        <w:t>HF01_AnnV+CD105+</w:t>
      </w:r>
      <w:r w:rsidRPr="00C92330">
        <w:t>events_PB</w:t>
      </w:r>
      <w:r w:rsidR="00286FD5">
        <w:t>’</w:t>
      </w:r>
      <w:r>
        <w:t xml:space="preserve"> </w:t>
      </w:r>
      <w:r w:rsidR="0023767C">
        <w:t>provides</w:t>
      </w:r>
      <w:r>
        <w:t xml:space="preserve"> results of </w:t>
      </w:r>
      <w:r w:rsidRPr="00C92330">
        <w:t>AnnV+CD</w:t>
      </w:r>
      <w:r>
        <w:t>105</w:t>
      </w:r>
      <w:r w:rsidR="0023767C">
        <w:t>+</w:t>
      </w:r>
      <w:r w:rsidRPr="00C92330">
        <w:t xml:space="preserve">particles (i.e. </w:t>
      </w:r>
      <w:r w:rsidR="0023767C">
        <w:t>E</w:t>
      </w:r>
      <w:r w:rsidRPr="00C92330">
        <w:t>DEVs) numbers (</w:t>
      </w:r>
      <w:r>
        <w:t>Q2-1</w:t>
      </w:r>
      <w:r w:rsidRPr="00C92330">
        <w:t xml:space="preserve"> and </w:t>
      </w:r>
      <w:r w:rsidR="0023767C" w:rsidRPr="00C92330">
        <w:t>bottom</w:t>
      </w:r>
      <w:r w:rsidRPr="00C92330">
        <w:t xml:space="preserve"> </w:t>
      </w:r>
      <w:r>
        <w:t>right</w:t>
      </w:r>
      <w:r w:rsidRPr="00C92330">
        <w:t xml:space="preserve"> figure) </w:t>
      </w:r>
      <w:r>
        <w:t xml:space="preserve">displayed in </w:t>
      </w:r>
      <w:r w:rsidR="00286FD5">
        <w:t xml:space="preserve">the </w:t>
      </w:r>
      <w:r>
        <w:t>main sample tube</w:t>
      </w:r>
      <w:r w:rsidRPr="00C92330">
        <w:t>.</w:t>
      </w:r>
    </w:p>
    <w:p w14:paraId="2BC8A3A0" w14:textId="656F1996" w:rsidR="00195FD3" w:rsidRPr="00081064" w:rsidRDefault="00286FD5" w:rsidP="00195FD3">
      <w:pPr>
        <w:jc w:val="both"/>
        <w:rPr>
          <w:b/>
        </w:rPr>
      </w:pPr>
      <w:r>
        <w:rPr>
          <w:b/>
        </w:rPr>
        <w:t>3.2 FCM_</w:t>
      </w:r>
      <w:r w:rsidR="00195FD3">
        <w:rPr>
          <w:b/>
        </w:rPr>
        <w:t>data</w:t>
      </w:r>
      <w:bookmarkStart w:id="1" w:name="OLE_LINK1"/>
      <w:r w:rsidR="00195FD3" w:rsidRPr="000102C0">
        <w:rPr>
          <w:b/>
        </w:rPr>
        <w:t>.xlsx</w:t>
      </w:r>
      <w:r w:rsidR="00195FD3">
        <w:rPr>
          <w:b/>
        </w:rPr>
        <w:t xml:space="preserve"> (file)</w:t>
      </w:r>
      <w:bookmarkEnd w:id="1"/>
    </w:p>
    <w:p w14:paraId="2BC8A3A1" w14:textId="33F678D1" w:rsidR="00195FD3" w:rsidRDefault="00195FD3" w:rsidP="00195FD3">
      <w:pPr>
        <w:jc w:val="both"/>
      </w:pPr>
      <w:r>
        <w:t xml:space="preserve">A spreadsheet illustrating how raw data exported by </w:t>
      </w:r>
      <w:r w:rsidRPr="00DA4212">
        <w:t xml:space="preserve">BD FACSDiva™ Software </w:t>
      </w:r>
      <w:r>
        <w:t>were calculated to final results of PS+EV, PDEVs and EDEVs numbers.</w:t>
      </w:r>
      <w:r w:rsidRPr="00C92330">
        <w:t xml:space="preserve"> AnnV+particles</w:t>
      </w:r>
      <w:r>
        <w:t xml:space="preserve"> was </w:t>
      </w:r>
      <w:r w:rsidR="0023767C" w:rsidRPr="00C92330">
        <w:t>obtained by</w:t>
      </w:r>
      <w:r w:rsidR="0023767C">
        <w:t xml:space="preserve"> </w:t>
      </w:r>
      <w:r w:rsidRPr="00C92330">
        <w:t xml:space="preserve">All </w:t>
      </w:r>
      <w:r>
        <w:t>AnnV+</w:t>
      </w:r>
      <w:r w:rsidRPr="00C92330">
        <w:t xml:space="preserve">particles subtracting AnnV </w:t>
      </w:r>
      <w:r>
        <w:t xml:space="preserve">negative </w:t>
      </w:r>
      <w:r w:rsidRPr="00C92330">
        <w:t>control</w:t>
      </w:r>
      <w:r>
        <w:t xml:space="preserve">. </w:t>
      </w:r>
      <w:r w:rsidRPr="00C92330">
        <w:t>AnnV+CD41+particles</w:t>
      </w:r>
      <w:r>
        <w:t xml:space="preserve"> and </w:t>
      </w:r>
      <w:r w:rsidRPr="00C92330">
        <w:t>AnnV+CD</w:t>
      </w:r>
      <w:r>
        <w:t>105</w:t>
      </w:r>
      <w:r w:rsidRPr="00C92330">
        <w:t>+particles</w:t>
      </w:r>
      <w:r>
        <w:t xml:space="preserve"> were recorded based on the corresponding report mentioned above. </w:t>
      </w:r>
      <w:r w:rsidRPr="00C92330">
        <w:t xml:space="preserve">FCM-analysed volume </w:t>
      </w:r>
      <w:r>
        <w:t xml:space="preserve">was calculated as: </w:t>
      </w:r>
    </w:p>
    <w:p w14:paraId="2BC8A3A2" w14:textId="3441BE06" w:rsidR="00195FD3" w:rsidRDefault="00195FD3" w:rsidP="00195FD3">
      <w:pPr>
        <w:jc w:val="both"/>
      </w:pPr>
      <w:r w:rsidRPr="00C92330">
        <w:rPr>
          <w:rFonts w:ascii="Arial" w:hAnsi="Arial" w:cs="Arial"/>
          <w:noProof/>
          <w:kern w:val="2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8A3C4" wp14:editId="493D4459">
                <wp:simplePos x="0" y="0"/>
                <wp:positionH relativeFrom="margin">
                  <wp:posOffset>-418677</wp:posOffset>
                </wp:positionH>
                <wp:positionV relativeFrom="paragraph">
                  <wp:posOffset>41698</wp:posOffset>
                </wp:positionV>
                <wp:extent cx="8997043" cy="485178"/>
                <wp:effectExtent l="0" t="0" r="0" b="0"/>
                <wp:wrapNone/>
                <wp:docPr id="35" name="标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7043" cy="48517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8A3CD" w14:textId="77777777" w:rsidR="00195FD3" w:rsidRDefault="00DB1114" w:rsidP="00195FD3">
                            <w:pPr>
                              <w:pStyle w:val="a4"/>
                              <w:spacing w:after="0"/>
                              <w:ind w:firstLine="520"/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="Arial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/>
                                      <w:kern w:val="24"/>
                                      <w:sz w:val="28"/>
                                      <w:szCs w:val="28"/>
                                    </w:rPr>
                                    <m:t>[(Trucount morning events+Trount evening events)/2]</m:t>
                                  </m:r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×500μL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="Arial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Trucount beads</m:t>
                                  </m:r>
                                </m:den>
                              </m:f>
                            </m:oMath>
                            <w:r w:rsidR="00195FD3"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95FD3" w:rsidRPr="00DA6590"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= FCM-analysed volume (μL</w:t>
                            </w:r>
                            <w:r w:rsidR="00195FD3" w:rsidRPr="00DA6590">
                              <w:rPr>
                                <w:rFonts w:ascii="Cambria Math" w:hAnsi="Cambria Math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  <w:r w:rsidR="00195FD3" w:rsidRPr="00DA6590"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C8A3CE" w14:textId="77777777" w:rsidR="00195FD3" w:rsidRDefault="00195FD3" w:rsidP="00195FD3">
                            <w:pPr>
                              <w:pStyle w:val="a4"/>
                              <w:spacing w:after="0"/>
                              <w:ind w:firstLine="520"/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8A3C4" id="_x0000_s1028" type="#_x0000_t202" style="position:absolute;left:0;text-align:left;margin-left:-32.95pt;margin-top:3.3pt;width:708.45pt;height:38.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" filled="f" stroked="f">
                <v:textbox>
                  <w:txbxContent>
                    <w:p w14:paraId="2BC8A3CD" w14:textId="77777777" w:rsidR="00195FD3" w:rsidRDefault="007523BF" w:rsidP="00195FD3">
                      <w:pPr>
                        <w:pStyle w:val="NormalWeb"/>
                        <w:spacing w:after="0"/>
                        <w:ind w:firstLine="520"/>
                        <w:rPr>
                          <w:rFonts w:ascii="Cambria Math" w:eastAsia="Cambria Math" w:hAnsi="Cambria Math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="Arial"/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m:t>[(Trucount morning events+Trount evening events)/2]</m:t>
                            </m:r>
                            <m: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×500μL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Trucount beads</m:t>
                            </m:r>
                          </m:den>
                        </m:f>
                      </m:oMath>
                      <w:r w:rsidR="00195FD3">
                        <w:rPr>
                          <w:rFonts w:ascii="Cambria Math" w:eastAsia="Cambria Math" w:hAnsi="Cambria Math" w:cs="Arial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195FD3" w:rsidRPr="00DA6590">
                        <w:rPr>
                          <w:rFonts w:ascii="Cambria Math" w:eastAsia="Cambria Math" w:hAnsi="Cambria Math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= FCM-analysed volume (</w:t>
                      </w:r>
                      <w:proofErr w:type="spellStart"/>
                      <w:r w:rsidR="00195FD3" w:rsidRPr="00DA6590">
                        <w:rPr>
                          <w:rFonts w:ascii="Cambria Math" w:eastAsia="Cambria Math" w:hAnsi="Cambria Math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μL</w:t>
                      </w:r>
                      <w:proofErr w:type="spellEnd"/>
                      <w:r w:rsidR="00195FD3" w:rsidRPr="00DA6590">
                        <w:rPr>
                          <w:rFonts w:ascii="Cambria Math" w:hAnsi="Cambria Math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  <w:r w:rsidR="00195FD3" w:rsidRPr="00DA6590">
                        <w:rPr>
                          <w:rFonts w:ascii="Cambria Math" w:eastAsia="Cambria Math" w:hAnsi="Cambria Math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C8A3CE" w14:textId="77777777" w:rsidR="00195FD3" w:rsidRDefault="00195FD3" w:rsidP="00195FD3">
                      <w:pPr>
                        <w:pStyle w:val="NormalWeb"/>
                        <w:spacing w:after="0"/>
                        <w:ind w:firstLine="5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8A3A3" w14:textId="0439D56D" w:rsidR="00195FD3" w:rsidRDefault="00195FD3" w:rsidP="00195FD3">
      <w:pPr>
        <w:jc w:val="both"/>
      </w:pPr>
    </w:p>
    <w:p w14:paraId="2BC8A3A4" w14:textId="0371C12A" w:rsidR="00195FD3" w:rsidRDefault="00195FD3" w:rsidP="00195FD3">
      <w:pPr>
        <w:jc w:val="both"/>
      </w:pPr>
    </w:p>
    <w:p w14:paraId="2BC8A3A7" w14:textId="57F16786" w:rsidR="00195FD3" w:rsidRDefault="006C230C" w:rsidP="00195FD3">
      <w:pPr>
        <w:jc w:val="both"/>
      </w:pPr>
      <w:r w:rsidRPr="00C92330">
        <w:rPr>
          <w:rFonts w:ascii="Arial" w:hAnsi="Arial" w:cs="Arial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8A3C6" wp14:editId="6ED8EBD2">
                <wp:simplePos x="0" y="0"/>
                <wp:positionH relativeFrom="page">
                  <wp:posOffset>122344</wp:posOffset>
                </wp:positionH>
                <wp:positionV relativeFrom="paragraph">
                  <wp:posOffset>326813</wp:posOffset>
                </wp:positionV>
                <wp:extent cx="8996680" cy="485140"/>
                <wp:effectExtent l="0" t="0" r="0" b="0"/>
                <wp:wrapNone/>
                <wp:docPr id="41" name="标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96680" cy="48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8A3CF" w14:textId="77777777" w:rsidR="00195FD3" w:rsidRPr="00C92330" w:rsidRDefault="00DB1114" w:rsidP="00195FD3">
                            <w:pPr>
                              <w:pStyle w:val="a4"/>
                              <w:spacing w:after="0"/>
                              <w:ind w:firstLine="520"/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AnnV+particles/AnnV+CD41+particles/AnnV+CD105+particles</m:t>
                                  </m:r>
                                  <m: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×250</m:t>
                                  </m:r>
                                  <m:r>
                                    <w:rPr>
                                      <w:rFonts w:ascii="Cambria Math" w:eastAsia="Cambria Math" w:hAnsi="Cambria Math" w:cstheme="minorHAnsi" w:hint="eastAsia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μ</m:t>
                                  </m:r>
                                  <m: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L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FCM-analysed volume</m:t>
                                  </m:r>
                                </m:den>
                              </m:f>
                            </m:oMath>
                            <w:r w:rsidR="00195FD3">
                              <w:rPr>
                                <w:rFonts w:ascii="Calibri" w:eastAsia="Cambria Math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5FD3" w:rsidRPr="00C92330">
                              <w:rPr>
                                <w:rFonts w:ascii="Calibri" w:eastAsia="Cambria Math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x 200 x PFP volume </w:t>
                            </w:r>
                            <w:r w:rsidR="00195FD3">
                              <w:rPr>
                                <w:rFonts w:ascii="Calibri" w:eastAsia="Cambria Math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= </w:t>
                            </w:r>
                            <w:r w:rsidR="00195FD3" w:rsidRPr="00C92330">
                              <w:rPr>
                                <w:rFonts w:ascii="Calibri" w:eastAsia="Cambria Math" w:hAnsi="Calibri" w:cs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PS+EVs/PDEVs/EDEVs per ml PFP</w:t>
                            </w:r>
                          </w:p>
                          <w:p w14:paraId="2BC8A3D0" w14:textId="77777777" w:rsidR="00195FD3" w:rsidRDefault="00195FD3" w:rsidP="00195FD3">
                            <w:pPr>
                              <w:pStyle w:val="a4"/>
                              <w:spacing w:after="0"/>
                              <w:ind w:firstLine="520"/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8A3C6" id="_x0000_s1029" type="#_x0000_t202" style="position:absolute;left:0;text-align:left;margin-left:9.65pt;margin-top:25.75pt;width:708.4pt;height:38.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" filled="f" stroked="f">
                <v:textbox>
                  <w:txbxContent>
                    <w:p w14:paraId="2BC8A3CF" w14:textId="77777777" w:rsidR="00195FD3" w:rsidRPr="00C92330" w:rsidRDefault="007523BF" w:rsidP="00195FD3">
                      <w:pPr>
                        <w:pStyle w:val="NormalWeb"/>
                        <w:spacing w:after="0"/>
                        <w:ind w:firstLine="520"/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AnnV+particles/AnnV+CD41+particles/AnnV+CD105+particles</m:t>
                            </m:r>
                            <m: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×250</m:t>
                            </m:r>
                            <m:r>
                              <w:rPr>
                                <w:rFonts w:ascii="Cambria Math" w:eastAsia="Cambria Math" w:hAnsi="Cambria Math" w:cstheme="minorHAnsi" w:hint="eastAsia"/>
                                <w:color w:val="000000" w:themeColor="text1"/>
                                <w:kern w:val="24"/>
                                <w:szCs w:val="28"/>
                              </w:rPr>
                              <m:t>μ</m:t>
                            </m:r>
                            <m: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L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FCM-analysed volume</m:t>
                            </m:r>
                          </m:den>
                        </m:f>
                      </m:oMath>
                      <w:r w:rsidR="00195FD3">
                        <w:rPr>
                          <w:rFonts w:ascii="Calibri" w:eastAsia="Cambria Math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195FD3" w:rsidRPr="00C92330">
                        <w:rPr>
                          <w:rFonts w:ascii="Calibri" w:eastAsia="Cambria Math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x 200 x PFP volume </w:t>
                      </w:r>
                      <w:r w:rsidR="00195FD3">
                        <w:rPr>
                          <w:rFonts w:ascii="Calibri" w:eastAsia="Cambria Math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= </w:t>
                      </w:r>
                      <w:r w:rsidR="00195FD3" w:rsidRPr="00C92330">
                        <w:rPr>
                          <w:rFonts w:ascii="Calibri" w:eastAsia="Cambria Math" w:hAnsi="Calibri" w:cs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PS+EVs/PDEVs/EDEVs per ml PFP</w:t>
                      </w:r>
                    </w:p>
                    <w:p w14:paraId="2BC8A3D0" w14:textId="77777777" w:rsidR="00195FD3" w:rsidRDefault="00195FD3" w:rsidP="00195FD3">
                      <w:pPr>
                        <w:pStyle w:val="NormalWeb"/>
                        <w:spacing w:after="0"/>
                        <w:ind w:firstLine="5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95FD3" w:rsidRPr="00C92330">
        <w:t>PS+EVs/PDEVs/EDEVs per ml PFP were calculated as</w:t>
      </w:r>
      <w:r w:rsidR="00195FD3">
        <w:t>:</w:t>
      </w:r>
    </w:p>
    <w:p w14:paraId="674FBCD5" w14:textId="11146EF5" w:rsidR="006C230C" w:rsidRDefault="006C230C" w:rsidP="00195FD3">
      <w:pPr>
        <w:jc w:val="both"/>
      </w:pPr>
    </w:p>
    <w:p w14:paraId="790C2BBD" w14:textId="77777777" w:rsidR="006C230C" w:rsidRDefault="006C230C" w:rsidP="00195FD3">
      <w:pPr>
        <w:jc w:val="both"/>
      </w:pPr>
    </w:p>
    <w:p w14:paraId="2BC8A3A8" w14:textId="5720C351" w:rsidR="00195FD3" w:rsidRDefault="00401A5F" w:rsidP="00195FD3">
      <w:pPr>
        <w:jc w:val="both"/>
      </w:pPr>
      <w:r w:rsidRPr="007D2736">
        <w:rPr>
          <w:rFonts w:cstheme="minorHAnsi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8A3C8" wp14:editId="1BCF21DA">
                <wp:simplePos x="0" y="0"/>
                <wp:positionH relativeFrom="margin">
                  <wp:align>center</wp:align>
                </wp:positionH>
                <wp:positionV relativeFrom="paragraph">
                  <wp:posOffset>338243</wp:posOffset>
                </wp:positionV>
                <wp:extent cx="6057900" cy="491067"/>
                <wp:effectExtent l="0" t="0" r="0" b="0"/>
                <wp:wrapNone/>
                <wp:docPr id="1" name="标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4910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C8A3D1" w14:textId="77777777" w:rsidR="00195FD3" w:rsidRPr="004D6BF6" w:rsidRDefault="00195FD3" w:rsidP="00195FD3">
                            <w:pPr>
                              <w:pStyle w:val="a4"/>
                              <w:spacing w:after="0"/>
                              <w:ind w:firstLine="520"/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C92330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PS+EVs/PDEVs/EDEVs</w:t>
                            </w:r>
                            <w:r w:rsidRPr="004D6BF6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per ml PFP </w:t>
                            </w:r>
                            <m:oMath>
                              <m:r>
                                <w:rPr>
                                  <w:rFonts w:ascii="Cambria Math" w:eastAsia="Cambria Math" w:hAnsi="Cambria Math" w:cstheme="minorHAnsi"/>
                                  <w:color w:val="000000" w:themeColor="text1"/>
                                  <w:kern w:val="24"/>
                                  <w:sz w:val="21"/>
                                  <w:szCs w:val="22"/>
                                </w:rPr>
                                <m:t>×</m:t>
                              </m:r>
                            </m:oMath>
                            <w:r w:rsidRPr="004D6BF6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Cambria Math" w:hAnsi="Cambria Math" w:cstheme="minorHAns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Total volume of blood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 w:cstheme="minorHAns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Total volume of plasma</m:t>
                                  </m:r>
                                </m:den>
                              </m:f>
                            </m:oMath>
                            <w:r w:rsidRPr="004D6BF6">
                              <w:rPr>
                                <w:rFonts w:asciiTheme="minorHAnsi" w:eastAsia="Cambria Math" w:hAnsiTheme="minorHAnsi" w:cstheme="minorHAnsi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= </w:t>
                            </w:r>
                            <w:r w:rsidRPr="00C9233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PS+EVs/PDEVs/EDEVs</w:t>
                            </w:r>
                            <w:r w:rsidRPr="004D6BF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per ml </w:t>
                            </w:r>
                            <w:r w:rsidRPr="004D6BF6">
                              <w:rPr>
                                <w:rFonts w:asciiTheme="minorHAnsi" w:hAnsiTheme="minorHAnsi" w:cstheme="minorHAnsi"/>
                              </w:rPr>
                              <w:t>blood</w:t>
                            </w:r>
                          </w:p>
                          <w:p w14:paraId="2BC8A3D2" w14:textId="77777777" w:rsidR="00195FD3" w:rsidRDefault="00195FD3" w:rsidP="00195FD3">
                            <w:pPr>
                              <w:pStyle w:val="a4"/>
                              <w:spacing w:after="0"/>
                              <w:ind w:firstLine="520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BC8A3C8" id="_x0000_s1030" type="#_x0000_t202" style="position:absolute;left:0;text-align:left;margin-left:0;margin-top:26.65pt;width:477pt;height:38.6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" filled="f" stroked="f">
                <v:textbox>
                  <w:txbxContent>
                    <w:p w14:paraId="2BC8A3D1" w14:textId="77777777" w:rsidR="00195FD3" w:rsidRPr="004D6BF6" w:rsidRDefault="00195FD3" w:rsidP="00195FD3">
                      <w:pPr>
                        <w:pStyle w:val="NormalWeb"/>
                        <w:spacing w:after="0"/>
                        <w:ind w:firstLine="520"/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Cs w:val="22"/>
                        </w:rPr>
                      </w:pPr>
                      <w:r w:rsidRPr="00C92330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PS+EVs/PDEVs/EDEVs</w:t>
                      </w:r>
                      <w:r w:rsidRPr="004D6BF6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per ml PFP </w:t>
                      </w:r>
                      <m:oMath>
                        <m:r>
                          <w:rPr>
                            <w:rFonts w:ascii="Cambria Math" w:eastAsia="Cambria Math" w:hAnsi="Cambria Math" w:cstheme="minorHAnsi"/>
                            <w:color w:val="000000" w:themeColor="text1"/>
                            <w:kern w:val="24"/>
                            <w:sz w:val="21"/>
                            <w:szCs w:val="22"/>
                          </w:rPr>
                          <m:t>×</m:t>
                        </m:r>
                      </m:oMath>
                      <w:r w:rsidRPr="004D6BF6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="Cambria Math" w:hAnsi="Cambria Math" w:cstheme="minorHAns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Total volume of blood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 w:cstheme="minorHAnsi"/>
                                <w:color w:val="000000" w:themeColor="text1"/>
                                <w:kern w:val="24"/>
                                <w:szCs w:val="28"/>
                              </w:rPr>
                              <m:t>Total volume of plasma</m:t>
                            </m:r>
                          </m:den>
                        </m:f>
                      </m:oMath>
                      <w:r w:rsidRPr="004D6BF6">
                        <w:rPr>
                          <w:rFonts w:asciiTheme="minorHAnsi" w:eastAsia="Cambria Math" w:hAnsiTheme="minorHAnsi" w:cstheme="minorHAnsi"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= </w:t>
                      </w:r>
                      <w:r w:rsidRPr="00C92330">
                        <w:rPr>
                          <w:rFonts w:asciiTheme="minorHAnsi" w:hAnsiTheme="minorHAnsi" w:cstheme="minorHAnsi"/>
                          <w:sz w:val="22"/>
                        </w:rPr>
                        <w:t>PS+EVs/PDEVs/EDEVs</w:t>
                      </w:r>
                      <w:r w:rsidRPr="004D6BF6">
                        <w:rPr>
                          <w:rFonts w:asciiTheme="minorHAnsi" w:hAnsiTheme="minorHAnsi" w:cstheme="minorHAnsi"/>
                          <w:sz w:val="22"/>
                        </w:rPr>
                        <w:t xml:space="preserve"> per ml </w:t>
                      </w:r>
                      <w:r w:rsidRPr="004D6BF6">
                        <w:rPr>
                          <w:rFonts w:asciiTheme="minorHAnsi" w:hAnsiTheme="minorHAnsi" w:cstheme="minorHAnsi"/>
                        </w:rPr>
                        <w:t>blood</w:t>
                      </w:r>
                    </w:p>
                    <w:p w14:paraId="2BC8A3D2" w14:textId="77777777" w:rsidR="00195FD3" w:rsidRDefault="00195FD3" w:rsidP="00195FD3">
                      <w:pPr>
                        <w:pStyle w:val="NormalWeb"/>
                        <w:spacing w:after="0"/>
                        <w:ind w:firstLine="5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FD3" w:rsidRPr="00C92330">
        <w:t xml:space="preserve">PS+EVs/PDEVs/EDEVs per ml </w:t>
      </w:r>
      <w:r w:rsidR="006C230C">
        <w:t>blood</w:t>
      </w:r>
      <w:r w:rsidR="00195FD3" w:rsidRPr="00C92330">
        <w:t xml:space="preserve"> were calculated as</w:t>
      </w:r>
      <w:r w:rsidR="00195FD3">
        <w:t>:</w:t>
      </w:r>
    </w:p>
    <w:p w14:paraId="2BC8A3A9" w14:textId="7B78A07E" w:rsidR="00195FD3" w:rsidRDefault="00195FD3" w:rsidP="00195FD3">
      <w:pPr>
        <w:jc w:val="both"/>
      </w:pPr>
    </w:p>
    <w:p w14:paraId="2BC8A3AA" w14:textId="77777777" w:rsidR="00195FD3" w:rsidRDefault="00195FD3" w:rsidP="00195FD3">
      <w:pPr>
        <w:jc w:val="both"/>
      </w:pPr>
    </w:p>
    <w:p w14:paraId="2BC8A3AB" w14:textId="3823074C" w:rsidR="00195FD3" w:rsidRDefault="00195FD3" w:rsidP="00195FD3">
      <w:pPr>
        <w:jc w:val="both"/>
      </w:pPr>
      <w:r>
        <w:t xml:space="preserve">*Bold values were finally recorded in </w:t>
      </w:r>
      <w:r w:rsidRPr="004D6BF6">
        <w:t>Data</w:t>
      </w:r>
      <w:r w:rsidR="00587321">
        <w:t>_</w:t>
      </w:r>
      <w:r w:rsidRPr="004D6BF6">
        <w:t>Summary.csv</w:t>
      </w:r>
      <w:r>
        <w:t xml:space="preserve"> and applied in statistical analysis.</w:t>
      </w:r>
    </w:p>
    <w:p w14:paraId="2BC8A3AC" w14:textId="77777777" w:rsidR="00195FD3" w:rsidRPr="00886FD7" w:rsidRDefault="00195FD3" w:rsidP="00195FD3">
      <w:pPr>
        <w:jc w:val="both"/>
      </w:pPr>
      <w:r>
        <w:t>*HF03 has dropped out</w:t>
      </w:r>
    </w:p>
    <w:p w14:paraId="2BC8A3AD" w14:textId="32DBAE3A" w:rsidR="009C2758" w:rsidRDefault="009C2758" w:rsidP="009C2758">
      <w:pPr>
        <w:jc w:val="both"/>
        <w:rPr>
          <w:i/>
        </w:rPr>
      </w:pPr>
      <w:r>
        <w:t xml:space="preserve">Abbreviation: </w:t>
      </w:r>
      <w:r w:rsidRPr="009C2758">
        <w:rPr>
          <w:i/>
        </w:rPr>
        <w:t xml:space="preserve">AnnV, Annexin V; </w:t>
      </w:r>
      <w:r w:rsidRPr="00081064">
        <w:rPr>
          <w:i/>
        </w:rPr>
        <w:t xml:space="preserve">EDEV, endothelial-derived extracellular vesicles; EPI, epinephrine; ETP, endogenous thrombin potential;  FCM, flow cytometry; HDL-C, high-density lipoprotein cholesterol; NTA, nanoparticle tracking analysis; </w:t>
      </w:r>
      <w:r>
        <w:rPr>
          <w:i/>
        </w:rPr>
        <w:t xml:space="preserve">PFP, platelet-free plasma; </w:t>
      </w:r>
      <w:r w:rsidRPr="00081064">
        <w:rPr>
          <w:i/>
        </w:rPr>
        <w:t>PDEVs,  platelet-derived extracellular vesicles; PS+EVs, phosphatidylserine positive extracellular vesicles; SBP, systolic blood pressure; TAG, triacylglycerol; TC, total cholesterol; TEVs, total extracellular vesicles; TRAP-6, thrombin receptor-activated peptide 6.</w:t>
      </w:r>
    </w:p>
    <w:p w14:paraId="36B8D4FF" w14:textId="4BDA32C2" w:rsidR="002F2283" w:rsidRPr="00841E9F" w:rsidRDefault="002F2283" w:rsidP="002F2283">
      <w:pPr>
        <w:jc w:val="both"/>
        <w:rPr>
          <w:b/>
        </w:rPr>
      </w:pPr>
      <w:r w:rsidRPr="00841E9F">
        <w:rPr>
          <w:b/>
        </w:rPr>
        <w:t>4. Throm</w:t>
      </w:r>
      <w:r w:rsidR="006C1606">
        <w:rPr>
          <w:b/>
        </w:rPr>
        <w:t>bodynamics_data_</w:t>
      </w:r>
      <w:r w:rsidR="00841E9F" w:rsidRPr="00841E9F">
        <w:rPr>
          <w:b/>
        </w:rPr>
        <w:t>report (</w:t>
      </w:r>
      <w:r w:rsidR="00CE7C6E">
        <w:rPr>
          <w:b/>
        </w:rPr>
        <w:t>zip</w:t>
      </w:r>
      <w:r w:rsidR="00841E9F" w:rsidRPr="00841E9F">
        <w:rPr>
          <w:b/>
        </w:rPr>
        <w:t>)</w:t>
      </w:r>
    </w:p>
    <w:p w14:paraId="5F40CF57" w14:textId="30B7A2B7" w:rsidR="00555141" w:rsidRPr="00841E9F" w:rsidRDefault="002E2B19" w:rsidP="00555141">
      <w:pPr>
        <w:jc w:val="both"/>
      </w:pPr>
      <w:r w:rsidRPr="00841E9F">
        <w:t>P</w:t>
      </w:r>
      <w:r w:rsidR="00B10B03" w:rsidRPr="00841E9F">
        <w:t>DFs</w:t>
      </w:r>
      <w:r w:rsidRPr="00841E9F">
        <w:t xml:space="preserve"> exported by </w:t>
      </w:r>
      <w:r w:rsidR="007D6834" w:rsidRPr="00841E9F">
        <w:t xml:space="preserve">thrombodynamics </w:t>
      </w:r>
      <w:r w:rsidRPr="00841E9F">
        <w:t xml:space="preserve">instrument software </w:t>
      </w:r>
      <w:r w:rsidR="004E245A" w:rsidRPr="00841E9F">
        <w:t>include</w:t>
      </w:r>
      <w:r w:rsidR="00B10B03" w:rsidRPr="00841E9F">
        <w:t xml:space="preserve"> fibrin dynamics parameters</w:t>
      </w:r>
      <w:r w:rsidR="00B26FDA" w:rsidRPr="00841E9F">
        <w:t xml:space="preserve"> and </w:t>
      </w:r>
      <w:r w:rsidR="00392512" w:rsidRPr="00841E9F">
        <w:t>representative images of the coagulation process and fibrinolysis</w:t>
      </w:r>
      <w:r w:rsidR="00B26FDA" w:rsidRPr="00841E9F">
        <w:t xml:space="preserve">. </w:t>
      </w:r>
      <w:r w:rsidR="0036683B" w:rsidRPr="00841E9F">
        <w:t>E</w:t>
      </w:r>
      <w:r w:rsidR="00555141" w:rsidRPr="00841E9F">
        <w:t xml:space="preserve">ach HFXX </w:t>
      </w:r>
      <w:r w:rsidR="00373E95">
        <w:t xml:space="preserve">pdf </w:t>
      </w:r>
      <w:r w:rsidR="00CE7C6E">
        <w:t xml:space="preserve">file </w:t>
      </w:r>
      <w:r w:rsidR="00555141" w:rsidRPr="00841E9F">
        <w:t xml:space="preserve">provides the results of </w:t>
      </w:r>
      <w:r w:rsidR="000506D0">
        <w:t xml:space="preserve">the </w:t>
      </w:r>
      <w:r w:rsidR="0036683B" w:rsidRPr="00841E9F">
        <w:t>rate of clot growth, lag time, initial of clot growth, clot size at 30 min, clot density, lysis onset time and lysis progression</w:t>
      </w:r>
      <w:r w:rsidR="000506D0">
        <w:t xml:space="preserve"> presented in </w:t>
      </w:r>
      <w:r w:rsidR="000506D0" w:rsidRPr="00841E9F">
        <w:t>Data</w:t>
      </w:r>
      <w:r w:rsidR="006D4C5E">
        <w:t>_</w:t>
      </w:r>
      <w:r w:rsidR="000506D0" w:rsidRPr="00841E9F">
        <w:t>Summary.csv.</w:t>
      </w:r>
    </w:p>
    <w:p w14:paraId="648862BD" w14:textId="4F6BB50F" w:rsidR="00555141" w:rsidRDefault="00B26FDA" w:rsidP="00AF4488">
      <w:pPr>
        <w:jc w:val="both"/>
      </w:pPr>
      <w:r w:rsidRPr="00841E9F">
        <w:t>*HF03 has dropped out</w:t>
      </w:r>
    </w:p>
    <w:p w14:paraId="2BC8A3AF" w14:textId="414F2B2B" w:rsidR="00195FD3" w:rsidRPr="00841E9F" w:rsidRDefault="00054641" w:rsidP="00054641">
      <w:pPr>
        <w:jc w:val="both"/>
        <w:rPr>
          <w:b/>
        </w:rPr>
      </w:pPr>
      <w:r w:rsidRPr="00841E9F">
        <w:rPr>
          <w:b/>
        </w:rPr>
        <w:t>5. Thromb</w:t>
      </w:r>
      <w:r w:rsidR="006C1606">
        <w:rPr>
          <w:b/>
        </w:rPr>
        <w:t>in_</w:t>
      </w:r>
      <w:r w:rsidR="00555141" w:rsidRPr="00841E9F">
        <w:rPr>
          <w:b/>
        </w:rPr>
        <w:t>generation</w:t>
      </w:r>
      <w:r w:rsidR="006C1606">
        <w:rPr>
          <w:b/>
        </w:rPr>
        <w:t>_</w:t>
      </w:r>
      <w:r w:rsidR="00841E9F" w:rsidRPr="00841E9F">
        <w:rPr>
          <w:b/>
        </w:rPr>
        <w:t>data</w:t>
      </w:r>
      <w:r w:rsidR="00593A0C" w:rsidRPr="00841E9F">
        <w:rPr>
          <w:b/>
        </w:rPr>
        <w:t>.xlsx (file)</w:t>
      </w:r>
    </w:p>
    <w:p w14:paraId="0FD2689C" w14:textId="0FEA1070" w:rsidR="00555141" w:rsidRDefault="00073B00" w:rsidP="00195FD3">
      <w:pPr>
        <w:jc w:val="both"/>
      </w:pPr>
      <w:r w:rsidRPr="00841E9F">
        <w:t>A spreadsheet illustrat</w:t>
      </w:r>
      <w:r w:rsidR="00D60BF1" w:rsidRPr="00841E9F">
        <w:t xml:space="preserve">ing </w:t>
      </w:r>
      <w:r w:rsidRPr="00841E9F">
        <w:t xml:space="preserve">the results of </w:t>
      </w:r>
      <w:r w:rsidR="008E0C28" w:rsidRPr="00841E9F">
        <w:t>fluorescent intensity</w:t>
      </w:r>
      <w:r w:rsidRPr="00841E9F">
        <w:t xml:space="preserve"> </w:t>
      </w:r>
      <w:r w:rsidR="00555141" w:rsidRPr="00841E9F">
        <w:t xml:space="preserve">was detected by </w:t>
      </w:r>
      <w:r w:rsidR="00AC53FC" w:rsidRPr="00841E9F">
        <w:t>the plate reader (FlexStation 3, United State) at 360 nm for excitation and at 460 nm for emission</w:t>
      </w:r>
      <w:r w:rsidR="00555141" w:rsidRPr="00841E9F">
        <w:t xml:space="preserve"> to calculate thrombin generation in </w:t>
      </w:r>
      <w:r w:rsidR="00462E59" w:rsidRPr="00841E9F">
        <w:t>the unit of RFU</w:t>
      </w:r>
      <w:r w:rsidR="00555141" w:rsidRPr="00841E9F">
        <w:t xml:space="preserve">. </w:t>
      </w:r>
      <w:r w:rsidR="008E2DA9" w:rsidRPr="00841E9F">
        <w:t>Raw d</w:t>
      </w:r>
      <w:r w:rsidR="00555141" w:rsidRPr="00841E9F">
        <w:t xml:space="preserve">ata were then analysed by the TGA Evaluation Software manually to convert the unit of thrombin generation from RFU to nM and presented as </w:t>
      </w:r>
      <w:r w:rsidR="00841E9F">
        <w:t>five</w:t>
      </w:r>
      <w:r w:rsidR="00555141" w:rsidRPr="00841E9F">
        <w:t xml:space="preserve"> variables: lag time, time to the peak, the concentration of thrombin (nM), velocity-index and area under curve</w:t>
      </w:r>
      <w:r w:rsidR="00841E9F">
        <w:t xml:space="preserve"> in </w:t>
      </w:r>
      <w:r w:rsidR="00841E9F" w:rsidRPr="00841E9F">
        <w:t>Data</w:t>
      </w:r>
      <w:r w:rsidR="006E427E">
        <w:t>_</w:t>
      </w:r>
      <w:r w:rsidR="00841E9F" w:rsidRPr="00841E9F">
        <w:t>Summary.csv</w:t>
      </w:r>
      <w:r w:rsidR="00A4774C" w:rsidRPr="00841E9F">
        <w:t>.</w:t>
      </w:r>
    </w:p>
    <w:p w14:paraId="223FF93F" w14:textId="77777777" w:rsidR="007959C3" w:rsidRDefault="005B1580" w:rsidP="00E61023">
      <w:pPr>
        <w:jc w:val="both"/>
      </w:pPr>
      <w:r w:rsidRPr="00841E9F">
        <w:t>*HF03 has dropped ou</w:t>
      </w:r>
      <w:r w:rsidR="007959C3">
        <w:t>t</w:t>
      </w:r>
    </w:p>
    <w:p w14:paraId="6240B80D" w14:textId="0B49BA1C" w:rsidR="00E61023" w:rsidRPr="00664BF6" w:rsidRDefault="006C1606" w:rsidP="00E61023">
      <w:pPr>
        <w:jc w:val="both"/>
        <w:rPr>
          <w:b/>
        </w:rPr>
      </w:pPr>
      <w:r>
        <w:rPr>
          <w:b/>
        </w:rPr>
        <w:t>6. Platelet_aggregation_</w:t>
      </w:r>
      <w:r w:rsidR="00841E9F" w:rsidRPr="00664BF6">
        <w:rPr>
          <w:b/>
        </w:rPr>
        <w:t xml:space="preserve">data. </w:t>
      </w:r>
      <w:r w:rsidR="00647093" w:rsidRPr="00664BF6">
        <w:rPr>
          <w:b/>
        </w:rPr>
        <w:t>x</w:t>
      </w:r>
      <w:r w:rsidR="00841E9F" w:rsidRPr="00664BF6">
        <w:rPr>
          <w:b/>
        </w:rPr>
        <w:t xml:space="preserve">lsx </w:t>
      </w:r>
      <w:r w:rsidR="00E61023" w:rsidRPr="00664BF6">
        <w:rPr>
          <w:b/>
        </w:rPr>
        <w:t>(file)</w:t>
      </w:r>
    </w:p>
    <w:p w14:paraId="65540EC7" w14:textId="218556E1" w:rsidR="00E61023" w:rsidRPr="00664BF6" w:rsidRDefault="000C0C2D" w:rsidP="003B0384">
      <w:pPr>
        <w:jc w:val="both"/>
      </w:pPr>
      <w:r w:rsidRPr="00664BF6">
        <w:t xml:space="preserve">A spreadsheet </w:t>
      </w:r>
      <w:r w:rsidR="005F05EE" w:rsidRPr="00664BF6">
        <w:t>illustrates</w:t>
      </w:r>
      <w:r w:rsidRPr="00664BF6">
        <w:t xml:space="preserve"> </w:t>
      </w:r>
      <w:r w:rsidR="005F05EE" w:rsidRPr="00664BF6">
        <w:t>the</w:t>
      </w:r>
      <w:r w:rsidRPr="00664BF6">
        <w:t xml:space="preserve"> results of </w:t>
      </w:r>
      <w:r w:rsidR="00353F0E" w:rsidRPr="00664BF6">
        <w:t>platelet aggregation included by ADP, CRP-XL</w:t>
      </w:r>
      <w:r w:rsidR="00E804B2" w:rsidRPr="00664BF6">
        <w:t xml:space="preserve">, </w:t>
      </w:r>
      <w:r w:rsidR="00664BF6">
        <w:t>EPI</w:t>
      </w:r>
      <w:r w:rsidR="00E804B2" w:rsidRPr="00664BF6">
        <w:t>, TRAP-6 and U4</w:t>
      </w:r>
      <w:r w:rsidR="00BD5161" w:rsidRPr="00664BF6">
        <w:t>6619</w:t>
      </w:r>
      <w:r w:rsidRPr="00664BF6">
        <w:t xml:space="preserve">. </w:t>
      </w:r>
      <w:r w:rsidR="00097097" w:rsidRPr="00664BF6">
        <w:t xml:space="preserve">Raw </w:t>
      </w:r>
      <w:r w:rsidR="00AB5608" w:rsidRPr="00664BF6">
        <w:t>a</w:t>
      </w:r>
      <w:r w:rsidR="00AF12FB" w:rsidRPr="00664BF6">
        <w:t xml:space="preserve">bsorbance data </w:t>
      </w:r>
      <w:r w:rsidR="00097097" w:rsidRPr="00664BF6">
        <w:t>were exported by a plate-reader (Tecan Microplate Reader Spark, Switzerland)</w:t>
      </w:r>
      <w:r w:rsidR="005F05EE" w:rsidRPr="00664BF6">
        <w:t xml:space="preserve"> and</w:t>
      </w:r>
      <w:r w:rsidR="00AF12FB" w:rsidRPr="00664BF6">
        <w:t xml:space="preserve"> converted to a percent aggregation by reference to the absorbance of </w:t>
      </w:r>
      <w:r w:rsidR="00664BF6" w:rsidRPr="00664BF6">
        <w:t>platelet-rich plasma</w:t>
      </w:r>
      <w:r w:rsidR="00AF12FB" w:rsidRPr="00664BF6">
        <w:t xml:space="preserve"> and </w:t>
      </w:r>
      <w:r w:rsidR="00664BF6" w:rsidRPr="00664BF6">
        <w:t>platelet-poor plasma</w:t>
      </w:r>
      <w:r w:rsidR="00AF12FB" w:rsidRPr="00664BF6">
        <w:t xml:space="preserve"> as 0% and 100% aggregation controls, respectively. Dose-response curves in response to each agonist were obtained and </w:t>
      </w:r>
      <w:r w:rsidR="00AF12FB" w:rsidRPr="00664BF6">
        <w:lastRenderedPageBreak/>
        <w:t>curves were fitted by a four-parameter logistic non-linear regression using Prism (8.2; GraphPad Software, Inc., San Diego, CA)</w:t>
      </w:r>
      <w:r w:rsidR="003B0384" w:rsidRPr="00664BF6">
        <w:t>. These dose-response curves of platelet aggregation were used to calculate relative parameters including EC50 and</w:t>
      </w:r>
      <w:r w:rsidR="00841E9F" w:rsidRPr="00664BF6">
        <w:t>/or</w:t>
      </w:r>
      <w:r w:rsidR="003B0384" w:rsidRPr="00664BF6">
        <w:t xml:space="preserve"> LogEC50 values.</w:t>
      </w:r>
    </w:p>
    <w:p w14:paraId="677B0B26" w14:textId="568BACBA" w:rsidR="0075500A" w:rsidRPr="00664BF6" w:rsidRDefault="0075500A" w:rsidP="0075500A">
      <w:pPr>
        <w:jc w:val="both"/>
      </w:pPr>
      <w:r w:rsidRPr="00664BF6">
        <w:t>Calculate percentage aggregation:</w:t>
      </w:r>
    </w:p>
    <w:p w14:paraId="76679608" w14:textId="2098023A" w:rsidR="0075500A" w:rsidRDefault="0075500A" w:rsidP="0075500A">
      <w:pPr>
        <w:jc w:val="both"/>
      </w:pPr>
      <w:r w:rsidRPr="00664BF6">
        <w:t xml:space="preserve">% aggregation = 100 - 100* </w:t>
      </w:r>
      <w:r w:rsidR="008E6B69" w:rsidRPr="00664BF6">
        <w:t xml:space="preserve"> </w:t>
      </w:r>
      <m:oMath>
        <m:f>
          <m:fPr>
            <m:ctrlPr>
              <w:rPr>
                <w:rFonts w:ascii="Cambria Math" w:eastAsia="Cambria Math" w:hAnsi="Cambria Math" w:cstheme="minorHAnsi"/>
                <w:i/>
                <w:iCs/>
                <w:color w:val="000000" w:themeColor="text1"/>
                <w:kern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absorbance well – average absorbance wells A1-D1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 xml:space="preserve">Average absorbance wells E1-G1 - average absorbance wells </m:t>
            </m:r>
          </m:den>
        </m:f>
      </m:oMath>
    </w:p>
    <w:p w14:paraId="7E7A43A9" w14:textId="36C0825D" w:rsidR="005B1580" w:rsidRDefault="005B1580" w:rsidP="00664BF6">
      <w:pPr>
        <w:jc w:val="both"/>
      </w:pPr>
      <w:r w:rsidRPr="00841E9F">
        <w:t>*HF03 has dropped out</w:t>
      </w:r>
    </w:p>
    <w:p w14:paraId="1E6E80D1" w14:textId="64F1F974" w:rsidR="00664BF6" w:rsidRPr="00081064" w:rsidRDefault="00664BF6" w:rsidP="00664BF6">
      <w:pPr>
        <w:jc w:val="both"/>
        <w:rPr>
          <w:i/>
        </w:rPr>
      </w:pPr>
      <w:r>
        <w:t xml:space="preserve">Abbreviation: </w:t>
      </w:r>
      <w:r w:rsidRPr="00081064">
        <w:rPr>
          <w:i/>
        </w:rPr>
        <w:t xml:space="preserve">ADP, adenosine diphosphate; CRP-XL, cross-linked collagen-related peptide; </w:t>
      </w:r>
      <w:r w:rsidRPr="006F7A9E">
        <w:rPr>
          <w:i/>
        </w:rPr>
        <w:t>EC50,</w:t>
      </w:r>
      <w:r w:rsidRPr="006F7A9E">
        <w:t xml:space="preserve"> </w:t>
      </w:r>
      <w:r>
        <w:rPr>
          <w:i/>
        </w:rPr>
        <w:t>h</w:t>
      </w:r>
      <w:r w:rsidRPr="006F7A9E">
        <w:rPr>
          <w:i/>
        </w:rPr>
        <w:t xml:space="preserve">alf </w:t>
      </w:r>
      <w:r>
        <w:rPr>
          <w:i/>
        </w:rPr>
        <w:t xml:space="preserve">maximal effective concentration; EPI, epinephrine; </w:t>
      </w:r>
      <w:r w:rsidRPr="00081064">
        <w:rPr>
          <w:i/>
        </w:rPr>
        <w:t>TRAP-6, thrombin receptor-activated peptide 6</w:t>
      </w:r>
      <w:r w:rsidR="007959C3">
        <w:rPr>
          <w:rFonts w:hint="eastAsia"/>
          <w:i/>
        </w:rPr>
        <w:t>;</w:t>
      </w:r>
      <w:r w:rsidR="007959C3">
        <w:rPr>
          <w:i/>
        </w:rPr>
        <w:t xml:space="preserve"> U4,</w:t>
      </w:r>
      <w:r w:rsidR="007959C3" w:rsidRPr="007959C3">
        <w:t xml:space="preserve"> </w:t>
      </w:r>
      <w:r w:rsidR="007959C3" w:rsidRPr="007959C3">
        <w:rPr>
          <w:i/>
        </w:rPr>
        <w:t>U46619</w:t>
      </w:r>
      <w:r w:rsidR="007959C3">
        <w:rPr>
          <w:i/>
        </w:rPr>
        <w:t>.</w:t>
      </w:r>
    </w:p>
    <w:p w14:paraId="12F52D77" w14:textId="77777777" w:rsidR="005B1580" w:rsidRDefault="005B1580" w:rsidP="00195FD3">
      <w:pPr>
        <w:jc w:val="both"/>
      </w:pPr>
    </w:p>
    <w:p w14:paraId="2BC8A3B0" w14:textId="7BFC0ED8" w:rsidR="00195FD3" w:rsidRPr="005B1580" w:rsidRDefault="00195FD3" w:rsidP="00195FD3">
      <w:pPr>
        <w:jc w:val="both"/>
        <w:rPr>
          <w:b/>
        </w:rPr>
      </w:pPr>
      <w:r w:rsidRPr="005B1580">
        <w:rPr>
          <w:b/>
        </w:rPr>
        <w:t>5. METHODS</w:t>
      </w:r>
    </w:p>
    <w:p w14:paraId="7CBD1AFE" w14:textId="77777777" w:rsidR="005B1580" w:rsidRDefault="005B1580" w:rsidP="005B1580">
      <w:pPr>
        <w:jc w:val="both"/>
      </w:pPr>
      <w:r>
        <w:t>-----------------------------------------------------------------</w:t>
      </w:r>
    </w:p>
    <w:p w14:paraId="2BC8A3BE" w14:textId="6E2B5E7A" w:rsidR="004D6BF6" w:rsidRDefault="00195FD3" w:rsidP="005B1580">
      <w:pPr>
        <w:jc w:val="both"/>
      </w:pPr>
      <w:r>
        <w:t>D</w:t>
      </w:r>
      <w:r w:rsidRPr="00195FD3">
        <w:t>etailed information about methods</w:t>
      </w:r>
      <w:r>
        <w:t xml:space="preserve"> could be found in the </w:t>
      </w:r>
      <w:r w:rsidR="009C2758">
        <w:t xml:space="preserve">paper </w:t>
      </w:r>
      <w:r w:rsidR="00286FD5">
        <w:t>‘</w:t>
      </w:r>
      <w:r w:rsidRPr="00195FD3">
        <w:t>Circulating extracellular vesicles are strongly associated w</w:t>
      </w:r>
      <w:r w:rsidR="00286FD5">
        <w:t>ith cardiovascular risk markers’</w:t>
      </w:r>
      <w:r w:rsidRPr="00195FD3">
        <w:t>.</w:t>
      </w:r>
    </w:p>
    <w:p w14:paraId="2BC8A3BF" w14:textId="77777777" w:rsidR="001675F7" w:rsidRDefault="001675F7" w:rsidP="001675F7"/>
    <w:sectPr w:rsidR="001675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D3F6B" w16cex:dateUtc="2022-03-29T07:18:00Z"/>
  <w16cex:commentExtensible w16cex:durableId="25ED3D2A" w16cex:dateUtc="2022-03-29T07:09:00Z"/>
  <w16cex:commentExtensible w16cex:durableId="25ED3D4B" w16cex:dateUtc="2022-03-29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6056F8" w16cid:durableId="25ED3F6B"/>
  <w16cid:commentId w16cid:paraId="05F1A24F" w16cid:durableId="25ED3D2A"/>
  <w16cid:commentId w16cid:paraId="3FC8D302" w16cid:durableId="25ED3D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EEA9" w14:textId="77777777" w:rsidR="00DB1114" w:rsidRDefault="00DB1114" w:rsidP="00CC6614">
      <w:pPr>
        <w:spacing w:after="0" w:line="240" w:lineRule="auto"/>
      </w:pPr>
      <w:r>
        <w:separator/>
      </w:r>
    </w:p>
  </w:endnote>
  <w:endnote w:type="continuationSeparator" w:id="0">
    <w:p w14:paraId="376FC10A" w14:textId="77777777" w:rsidR="00DB1114" w:rsidRDefault="00DB1114" w:rsidP="00CC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FEAEC" w14:textId="77777777" w:rsidR="00DB1114" w:rsidRDefault="00DB1114" w:rsidP="00CC6614">
      <w:pPr>
        <w:spacing w:after="0" w:line="240" w:lineRule="auto"/>
      </w:pPr>
      <w:r>
        <w:separator/>
      </w:r>
    </w:p>
  </w:footnote>
  <w:footnote w:type="continuationSeparator" w:id="0">
    <w:p w14:paraId="0365D288" w14:textId="77777777" w:rsidR="00DB1114" w:rsidRDefault="00DB1114" w:rsidP="00CC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98F"/>
    <w:multiLevelType w:val="hybridMultilevel"/>
    <w:tmpl w:val="622E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zNjI2MrKwMDUxMbdU0lEKTi0uzszPAykwrwUAPr/IPiwAAAA="/>
  </w:docVars>
  <w:rsids>
    <w:rsidRoot w:val="005F074A"/>
    <w:rsid w:val="000102C0"/>
    <w:rsid w:val="000506D0"/>
    <w:rsid w:val="00054641"/>
    <w:rsid w:val="00073B00"/>
    <w:rsid w:val="00081064"/>
    <w:rsid w:val="00083C45"/>
    <w:rsid w:val="00085B6E"/>
    <w:rsid w:val="00097097"/>
    <w:rsid w:val="000A231D"/>
    <w:rsid w:val="000C0C2D"/>
    <w:rsid w:val="000C3B09"/>
    <w:rsid w:val="0012713E"/>
    <w:rsid w:val="001305E8"/>
    <w:rsid w:val="001675F7"/>
    <w:rsid w:val="00195FD3"/>
    <w:rsid w:val="001F5AF2"/>
    <w:rsid w:val="001F6677"/>
    <w:rsid w:val="0023767C"/>
    <w:rsid w:val="00286FD5"/>
    <w:rsid w:val="002E2B19"/>
    <w:rsid w:val="002E4467"/>
    <w:rsid w:val="002E6FE5"/>
    <w:rsid w:val="002F2283"/>
    <w:rsid w:val="00353F0E"/>
    <w:rsid w:val="0036620D"/>
    <w:rsid w:val="0036683B"/>
    <w:rsid w:val="00373E95"/>
    <w:rsid w:val="00392512"/>
    <w:rsid w:val="003B0384"/>
    <w:rsid w:val="003D1E90"/>
    <w:rsid w:val="00401A5F"/>
    <w:rsid w:val="00406C07"/>
    <w:rsid w:val="00434E08"/>
    <w:rsid w:val="00462E59"/>
    <w:rsid w:val="00464D77"/>
    <w:rsid w:val="004B01B4"/>
    <w:rsid w:val="004D6BF6"/>
    <w:rsid w:val="004E245A"/>
    <w:rsid w:val="00555141"/>
    <w:rsid w:val="00587321"/>
    <w:rsid w:val="00593A0C"/>
    <w:rsid w:val="005B1580"/>
    <w:rsid w:val="005C19C2"/>
    <w:rsid w:val="005F05EE"/>
    <w:rsid w:val="005F074A"/>
    <w:rsid w:val="00647093"/>
    <w:rsid w:val="00664BF6"/>
    <w:rsid w:val="006C1606"/>
    <w:rsid w:val="006C230C"/>
    <w:rsid w:val="006D4C5E"/>
    <w:rsid w:val="006E427E"/>
    <w:rsid w:val="006F7A9E"/>
    <w:rsid w:val="007523BF"/>
    <w:rsid w:val="0075500A"/>
    <w:rsid w:val="0077182E"/>
    <w:rsid w:val="007959C3"/>
    <w:rsid w:val="007D6834"/>
    <w:rsid w:val="007D7ADF"/>
    <w:rsid w:val="007E7825"/>
    <w:rsid w:val="00815331"/>
    <w:rsid w:val="008268BC"/>
    <w:rsid w:val="00832643"/>
    <w:rsid w:val="00841E9F"/>
    <w:rsid w:val="00886FD7"/>
    <w:rsid w:val="008E0C28"/>
    <w:rsid w:val="008E2DA9"/>
    <w:rsid w:val="008E6B69"/>
    <w:rsid w:val="008F0075"/>
    <w:rsid w:val="009158EF"/>
    <w:rsid w:val="0092462F"/>
    <w:rsid w:val="009C2758"/>
    <w:rsid w:val="00A05519"/>
    <w:rsid w:val="00A4774C"/>
    <w:rsid w:val="00A70885"/>
    <w:rsid w:val="00A944CA"/>
    <w:rsid w:val="00AB1F4B"/>
    <w:rsid w:val="00AB5608"/>
    <w:rsid w:val="00AC53FC"/>
    <w:rsid w:val="00AF12FB"/>
    <w:rsid w:val="00AF4488"/>
    <w:rsid w:val="00B10B03"/>
    <w:rsid w:val="00B26FDA"/>
    <w:rsid w:val="00B87B25"/>
    <w:rsid w:val="00BD5161"/>
    <w:rsid w:val="00C92330"/>
    <w:rsid w:val="00CA6AE6"/>
    <w:rsid w:val="00CC064B"/>
    <w:rsid w:val="00CC2F5D"/>
    <w:rsid w:val="00CC6614"/>
    <w:rsid w:val="00CE7C6E"/>
    <w:rsid w:val="00D11F8A"/>
    <w:rsid w:val="00D21D93"/>
    <w:rsid w:val="00D332CB"/>
    <w:rsid w:val="00D60BF1"/>
    <w:rsid w:val="00D62379"/>
    <w:rsid w:val="00DA4212"/>
    <w:rsid w:val="00DB1114"/>
    <w:rsid w:val="00DB511B"/>
    <w:rsid w:val="00DE48D1"/>
    <w:rsid w:val="00E5120E"/>
    <w:rsid w:val="00E61023"/>
    <w:rsid w:val="00E70120"/>
    <w:rsid w:val="00E804B2"/>
    <w:rsid w:val="00F5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8A371"/>
  <w15:chartTrackingRefBased/>
  <w15:docId w15:val="{39D2E893-D52B-4580-9B9B-E6A5FEA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0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6BF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C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5"/>
    <w:uiPriority w:val="99"/>
    <w:rsid w:val="00CC6614"/>
  </w:style>
  <w:style w:type="paragraph" w:styleId="a6">
    <w:name w:val="footer"/>
    <w:basedOn w:val="a"/>
    <w:link w:val="Char0"/>
    <w:uiPriority w:val="99"/>
    <w:unhideWhenUsed/>
    <w:rsid w:val="00CC66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6"/>
    <w:uiPriority w:val="99"/>
    <w:rsid w:val="00CC6614"/>
  </w:style>
  <w:style w:type="character" w:styleId="a7">
    <w:name w:val="annotation reference"/>
    <w:basedOn w:val="a0"/>
    <w:uiPriority w:val="99"/>
    <w:semiHidden/>
    <w:unhideWhenUsed/>
    <w:rsid w:val="00DE48D1"/>
    <w:rPr>
      <w:sz w:val="16"/>
      <w:szCs w:val="16"/>
    </w:rPr>
  </w:style>
  <w:style w:type="paragraph" w:styleId="a8">
    <w:name w:val="annotation text"/>
    <w:basedOn w:val="a"/>
    <w:link w:val="Char1"/>
    <w:uiPriority w:val="99"/>
    <w:unhideWhenUsed/>
    <w:rsid w:val="00DE48D1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rsid w:val="00DE48D1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E48D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E48D1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959C3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959C3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F7E18F99B554BA7E8B4CB7D5983E9" ma:contentTypeVersion="14" ma:contentTypeDescription="Create a new document." ma:contentTypeScope="" ma:versionID="1a919b11ed4a9827ab9796d02bd0a8b3">
  <xsd:schema xmlns:xsd="http://www.w3.org/2001/XMLSchema" xmlns:xs="http://www.w3.org/2001/XMLSchema" xmlns:p="http://schemas.microsoft.com/office/2006/metadata/properties" xmlns:ns3="2e76a080-e978-4c6f-9404-9a08901db6cb" xmlns:ns4="14021365-9c4a-42c7-9af8-2b2d04039a8f" targetNamespace="http://schemas.microsoft.com/office/2006/metadata/properties" ma:root="true" ma:fieldsID="c950d43cf7cf0b8a828b59f59b84fda6" ns3:_="" ns4:_="">
    <xsd:import namespace="2e76a080-e978-4c6f-9404-9a08901db6cb"/>
    <xsd:import namespace="14021365-9c4a-42c7-9af8-2b2d04039a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6a080-e978-4c6f-9404-9a08901db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21365-9c4a-42c7-9af8-2b2d04039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F6096-FD08-482D-8045-9B0330823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6a080-e978-4c6f-9404-9a08901db6cb"/>
    <ds:schemaRef ds:uri="14021365-9c4a-42c7-9af8-2b2d04039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E87424-7A4B-4E47-BE9C-DDE9CE4FD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E457F-8A87-4FE2-A9AF-11DA9A480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Ruihan Zhou</dc:creator>
  <cp:keywords/>
  <dc:description/>
  <cp:lastModifiedBy>Ruihan Zhou</cp:lastModifiedBy>
  <cp:revision>3</cp:revision>
  <dcterms:created xsi:type="dcterms:W3CDTF">2022-03-29T08:24:00Z</dcterms:created>
  <dcterms:modified xsi:type="dcterms:W3CDTF">2022-03-29T08:27:00Z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0x0101006C2F7E18F99B554BA7E8B4CB7D5983E9</vt:lpwstr>
  </property>
</Properties>
</file>