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BAFB" w14:textId="219A1F99" w:rsidR="00B13734" w:rsidRPr="008B53E8" w:rsidRDefault="00C67957" w:rsidP="008238FD">
      <w:pPr>
        <w:pStyle w:val="ListParagraph"/>
        <w:numPr>
          <w:ilvl w:val="0"/>
          <w:numId w:val="1"/>
        </w:numPr>
        <w:rPr>
          <w:rFonts w:cstheme="minorHAnsi"/>
        </w:rPr>
      </w:pPr>
      <w:r w:rsidRPr="008B53E8">
        <w:rPr>
          <w:rFonts w:cstheme="minorHAnsi"/>
        </w:rPr>
        <w:t>ABOUT THE DATASET</w:t>
      </w:r>
    </w:p>
    <w:p w14:paraId="6F6EB28A" w14:textId="7073398A" w:rsidR="008238FD" w:rsidRPr="008B53E8" w:rsidRDefault="008238FD" w:rsidP="008238FD">
      <w:pPr>
        <w:rPr>
          <w:rFonts w:cstheme="minorHAnsi"/>
        </w:rPr>
      </w:pPr>
      <w:r w:rsidRPr="008B53E8">
        <w:rPr>
          <w:rFonts w:cstheme="minorHAnsi"/>
        </w:rPr>
        <w:t>----------------------------</w:t>
      </w:r>
    </w:p>
    <w:p w14:paraId="0F735926" w14:textId="540A2E67" w:rsidR="008238FD" w:rsidRPr="008B53E8" w:rsidRDefault="008238FD" w:rsidP="008238FD">
      <w:pPr>
        <w:rPr>
          <w:rFonts w:cstheme="minorHAnsi"/>
        </w:rPr>
      </w:pPr>
      <w:r w:rsidRPr="008B53E8">
        <w:rPr>
          <w:rFonts w:cstheme="minorHAnsi"/>
        </w:rPr>
        <w:t xml:space="preserve">Title: </w:t>
      </w:r>
      <w:r w:rsidR="009409CE" w:rsidRPr="008B53E8">
        <w:rPr>
          <w:rFonts w:cstheme="minorHAnsi"/>
        </w:rPr>
        <w:t>Combined eye-tracking and think-aloud data relating to how native-Chinese speakers process coreferen</w:t>
      </w:r>
      <w:r w:rsidR="004F259D" w:rsidRPr="008B53E8">
        <w:rPr>
          <w:rFonts w:cstheme="minorHAnsi"/>
        </w:rPr>
        <w:t>tial noun phrases</w:t>
      </w:r>
      <w:r w:rsidR="009409CE" w:rsidRPr="008B53E8">
        <w:rPr>
          <w:rFonts w:cstheme="minorHAnsi"/>
        </w:rPr>
        <w:t xml:space="preserve"> in English-language academic texts</w:t>
      </w:r>
    </w:p>
    <w:p w14:paraId="1ED0D95B" w14:textId="60BBC031" w:rsidR="008238FD" w:rsidRPr="008B53E8" w:rsidRDefault="008238FD" w:rsidP="008238FD">
      <w:pPr>
        <w:rPr>
          <w:rFonts w:cstheme="minorHAnsi"/>
        </w:rPr>
      </w:pPr>
      <w:r w:rsidRPr="008B53E8">
        <w:rPr>
          <w:rFonts w:cstheme="minorHAnsi"/>
        </w:rPr>
        <w:t>Creator: James P Wagstaffe</w:t>
      </w:r>
    </w:p>
    <w:p w14:paraId="1DC90E44" w14:textId="2E4E10E8" w:rsidR="008238FD" w:rsidRPr="008B53E8" w:rsidRDefault="008238FD" w:rsidP="008238FD">
      <w:pPr>
        <w:rPr>
          <w:rFonts w:cstheme="minorHAnsi"/>
        </w:rPr>
      </w:pPr>
      <w:r w:rsidRPr="008B53E8">
        <w:rPr>
          <w:rFonts w:cstheme="minorHAnsi"/>
        </w:rPr>
        <w:t>Organisation: University of Reading</w:t>
      </w:r>
    </w:p>
    <w:p w14:paraId="03EB52DA" w14:textId="7E91DCA1" w:rsidR="008238FD" w:rsidRPr="008B53E8" w:rsidRDefault="008238FD" w:rsidP="008238FD">
      <w:pPr>
        <w:rPr>
          <w:rFonts w:cstheme="minorHAnsi"/>
        </w:rPr>
      </w:pPr>
      <w:r w:rsidRPr="008B53E8">
        <w:rPr>
          <w:rFonts w:cstheme="minorHAnsi"/>
        </w:rPr>
        <w:t>Rights-holder</w:t>
      </w:r>
      <w:r w:rsidR="009409CE" w:rsidRPr="008B53E8">
        <w:rPr>
          <w:rFonts w:cstheme="minorHAnsi"/>
        </w:rPr>
        <w:t>(s)</w:t>
      </w:r>
      <w:r w:rsidRPr="008B53E8">
        <w:rPr>
          <w:rFonts w:cstheme="minorHAnsi"/>
        </w:rPr>
        <w:t xml:space="preserve">: James </w:t>
      </w:r>
      <w:r w:rsidR="00F73BA6" w:rsidRPr="008B53E8">
        <w:rPr>
          <w:rFonts w:cstheme="minorHAnsi"/>
        </w:rPr>
        <w:t xml:space="preserve">P </w:t>
      </w:r>
      <w:r w:rsidRPr="008B53E8">
        <w:rPr>
          <w:rFonts w:cstheme="minorHAnsi"/>
        </w:rPr>
        <w:t>Wagstaffe</w:t>
      </w:r>
    </w:p>
    <w:p w14:paraId="4ABCE622" w14:textId="61617947" w:rsidR="009409CE" w:rsidRPr="008B53E8" w:rsidRDefault="009409CE" w:rsidP="008238FD">
      <w:pPr>
        <w:rPr>
          <w:rFonts w:cstheme="minorHAnsi"/>
        </w:rPr>
      </w:pPr>
      <w:r w:rsidRPr="008B53E8">
        <w:rPr>
          <w:rFonts w:cstheme="minorHAnsi"/>
        </w:rPr>
        <w:t>Year of publication: 2022</w:t>
      </w:r>
    </w:p>
    <w:p w14:paraId="737682BD" w14:textId="30BAFA03" w:rsidR="00E24F24" w:rsidRPr="008B53E8" w:rsidRDefault="00E24F24" w:rsidP="008238FD">
      <w:pPr>
        <w:rPr>
          <w:rFonts w:cstheme="minorHAnsi"/>
        </w:rPr>
      </w:pPr>
      <w:r w:rsidRPr="008B53E8">
        <w:rPr>
          <w:rFonts w:cstheme="minorHAnsi"/>
        </w:rPr>
        <w:t xml:space="preserve">Description: This dataset consists of two parts. The first part contains </w:t>
      </w:r>
      <w:r w:rsidR="002568D2" w:rsidRPr="008B53E8">
        <w:rPr>
          <w:rFonts w:cstheme="minorHAnsi"/>
        </w:rPr>
        <w:t xml:space="preserve">eye-movement data reflecting the reading times gathered when native-Chinese speakers processed </w:t>
      </w:r>
      <w:r w:rsidR="0038750F" w:rsidRPr="008B53E8">
        <w:rPr>
          <w:rFonts w:cstheme="minorHAnsi"/>
        </w:rPr>
        <w:t>coreferential noun phrases</w:t>
      </w:r>
      <w:r w:rsidR="0048529B" w:rsidRPr="008B53E8">
        <w:rPr>
          <w:rFonts w:cstheme="minorHAnsi"/>
        </w:rPr>
        <w:t xml:space="preserve"> which (i) either did or did not contain a grammatical determiner, and (ii) either did or did </w:t>
      </w:r>
      <w:r w:rsidR="005976A2" w:rsidRPr="008B53E8">
        <w:rPr>
          <w:rFonts w:cstheme="minorHAnsi"/>
        </w:rPr>
        <w:t>not contain a semantically incongruent word. The second part consists of the transcripts from think-aloud interviews which were conducted subsequent to the eye-tracking exp</w:t>
      </w:r>
      <w:r w:rsidR="00637F75" w:rsidRPr="008B53E8">
        <w:rPr>
          <w:rFonts w:cstheme="minorHAnsi"/>
        </w:rPr>
        <w:t xml:space="preserve">eriment to investigate how readers at different levels of proficiency processed the </w:t>
      </w:r>
      <w:r w:rsidR="000A7C00" w:rsidRPr="008B53E8">
        <w:rPr>
          <w:rFonts w:cstheme="minorHAnsi"/>
        </w:rPr>
        <w:t>coreferential noun phrases.</w:t>
      </w:r>
    </w:p>
    <w:p w14:paraId="038C4B56" w14:textId="684EB230" w:rsidR="000534E9" w:rsidRPr="008B53E8" w:rsidRDefault="004C7D1B" w:rsidP="008238FD">
      <w:pPr>
        <w:rPr>
          <w:rFonts w:cstheme="minorHAnsi"/>
        </w:rPr>
      </w:pPr>
      <w:r w:rsidRPr="008B53E8">
        <w:rPr>
          <w:rFonts w:cstheme="minorHAnsi"/>
        </w:rPr>
        <w:t>Cite as: Wagstaffe, J.P. (2022)</w:t>
      </w:r>
      <w:r w:rsidR="002A0F38" w:rsidRPr="008B53E8">
        <w:rPr>
          <w:rFonts w:cstheme="minorHAnsi"/>
        </w:rPr>
        <w:t xml:space="preserve"> </w:t>
      </w:r>
      <w:r w:rsidR="00981093" w:rsidRPr="008B53E8">
        <w:rPr>
          <w:rFonts w:cstheme="minorHAnsi"/>
        </w:rPr>
        <w:t>Combined eye-tracking and think-aloud data relating to how native-Chinese speakers process coreferential noun phrases in English-language academic texts.</w:t>
      </w:r>
      <w:r w:rsidR="00343667" w:rsidRPr="008B53E8">
        <w:rPr>
          <w:rFonts w:cstheme="minorHAnsi"/>
        </w:rPr>
        <w:t xml:space="preserve"> University of Reading. Dataset. </w:t>
      </w:r>
      <w:hyperlink r:id="rId8" w:tgtFrame="_blank" w:history="1">
        <w:r w:rsidR="00343667" w:rsidRPr="008B53E8">
          <w:rPr>
            <w:rStyle w:val="Hyperlink"/>
            <w:rFonts w:cstheme="minorHAnsi"/>
          </w:rPr>
          <w:t>https://doi.org/10.17864/1947.000383</w:t>
        </w:r>
      </w:hyperlink>
    </w:p>
    <w:p w14:paraId="41280C88" w14:textId="77777777" w:rsidR="001E5273" w:rsidRPr="008B53E8" w:rsidRDefault="001E5273" w:rsidP="008238FD">
      <w:pPr>
        <w:rPr>
          <w:rFonts w:cstheme="minorHAnsi"/>
        </w:rPr>
      </w:pPr>
    </w:p>
    <w:p w14:paraId="6AF529DA" w14:textId="257EF15B" w:rsidR="00572766" w:rsidRPr="008B53E8" w:rsidRDefault="00C67957" w:rsidP="00575B66">
      <w:pPr>
        <w:pStyle w:val="ListParagraph"/>
        <w:numPr>
          <w:ilvl w:val="0"/>
          <w:numId w:val="1"/>
        </w:numPr>
        <w:rPr>
          <w:rFonts w:cstheme="minorHAnsi"/>
        </w:rPr>
      </w:pPr>
      <w:r w:rsidRPr="008B53E8">
        <w:rPr>
          <w:rFonts w:cstheme="minorHAnsi"/>
        </w:rPr>
        <w:t>TERMS OF USE</w:t>
      </w:r>
    </w:p>
    <w:p w14:paraId="66885577" w14:textId="77777777" w:rsidR="00575B66" w:rsidRPr="008B53E8" w:rsidRDefault="00575B66" w:rsidP="00575B66">
      <w:pPr>
        <w:rPr>
          <w:rFonts w:cstheme="minorHAnsi"/>
        </w:rPr>
      </w:pPr>
      <w:r w:rsidRPr="008B53E8">
        <w:rPr>
          <w:rFonts w:cstheme="minorHAnsi"/>
        </w:rPr>
        <w:t>----------------------------</w:t>
      </w:r>
    </w:p>
    <w:p w14:paraId="6F194F88" w14:textId="657BFECA" w:rsidR="001E5273" w:rsidRPr="008B53E8" w:rsidRDefault="0015556A" w:rsidP="00575B66">
      <w:pPr>
        <w:rPr>
          <w:rFonts w:cstheme="minorHAnsi"/>
        </w:rPr>
      </w:pPr>
      <w:r w:rsidRPr="008B53E8">
        <w:rPr>
          <w:rFonts w:cstheme="minorHAnsi"/>
        </w:rPr>
        <w:t xml:space="preserve">Copyright </w:t>
      </w:r>
      <w:r w:rsidR="00F73BA6" w:rsidRPr="008B53E8">
        <w:rPr>
          <w:rFonts w:cstheme="minorHAnsi"/>
        </w:rPr>
        <w:t>(</w:t>
      </w:r>
      <w:r w:rsidRPr="008B53E8">
        <w:rPr>
          <w:rFonts w:cstheme="minorHAnsi"/>
        </w:rPr>
        <w:t>2022</w:t>
      </w:r>
      <w:r w:rsidR="00F73BA6" w:rsidRPr="008B53E8">
        <w:rPr>
          <w:rFonts w:cstheme="minorHAnsi"/>
        </w:rPr>
        <w:t>)</w:t>
      </w:r>
      <w:r w:rsidRPr="008B53E8">
        <w:rPr>
          <w:rFonts w:cstheme="minorHAnsi"/>
        </w:rPr>
        <w:t xml:space="preserve"> James P Wagstaffe</w:t>
      </w:r>
      <w:r w:rsidR="00D36F01" w:rsidRPr="008B53E8">
        <w:rPr>
          <w:rFonts w:cstheme="minorHAnsi"/>
        </w:rPr>
        <w:t xml:space="preserve">. </w:t>
      </w:r>
      <w:r w:rsidR="002C1C0D" w:rsidRPr="008B53E8">
        <w:rPr>
          <w:rFonts w:cstheme="minorHAnsi"/>
        </w:rPr>
        <w:t xml:space="preserve">This dataset is licensed under a Creative Commons Attribution 4.0 International Licence: </w:t>
      </w:r>
      <w:hyperlink r:id="rId9" w:history="1">
        <w:r w:rsidR="002C1C0D" w:rsidRPr="008B53E8">
          <w:rPr>
            <w:rStyle w:val="Hyperlink"/>
            <w:rFonts w:cstheme="minorHAnsi"/>
          </w:rPr>
          <w:t>https://creativecommons.org/licenses/by/4.0/</w:t>
        </w:r>
      </w:hyperlink>
      <w:r w:rsidR="002C1C0D" w:rsidRPr="008B53E8">
        <w:rPr>
          <w:rFonts w:cstheme="minorHAnsi"/>
        </w:rPr>
        <w:t xml:space="preserve">. </w:t>
      </w:r>
    </w:p>
    <w:p w14:paraId="51806948" w14:textId="435FC369" w:rsidR="0015556A" w:rsidRPr="008B53E8" w:rsidRDefault="00D36F01" w:rsidP="0015556A">
      <w:pPr>
        <w:pStyle w:val="ListParagraph"/>
        <w:numPr>
          <w:ilvl w:val="0"/>
          <w:numId w:val="1"/>
        </w:numPr>
        <w:rPr>
          <w:rFonts w:cstheme="minorHAnsi"/>
        </w:rPr>
      </w:pPr>
      <w:r w:rsidRPr="008B53E8">
        <w:rPr>
          <w:rFonts w:cstheme="minorHAnsi"/>
        </w:rPr>
        <w:t>PROJECT AND FUNDING INFORMATION</w:t>
      </w:r>
    </w:p>
    <w:p w14:paraId="1B1593E2" w14:textId="77777777" w:rsidR="0011722B" w:rsidRPr="008B53E8" w:rsidRDefault="0011722B" w:rsidP="0011722B">
      <w:pPr>
        <w:rPr>
          <w:rFonts w:cstheme="minorHAnsi"/>
        </w:rPr>
      </w:pPr>
      <w:r w:rsidRPr="008B53E8">
        <w:rPr>
          <w:rFonts w:cstheme="minorHAnsi"/>
        </w:rPr>
        <w:t>----------------------------</w:t>
      </w:r>
    </w:p>
    <w:p w14:paraId="2DEED602" w14:textId="65A8931F" w:rsidR="0011722B" w:rsidRPr="008B53E8" w:rsidRDefault="00AF09DB" w:rsidP="0011722B">
      <w:pPr>
        <w:rPr>
          <w:rFonts w:cstheme="minorHAnsi"/>
        </w:rPr>
      </w:pPr>
      <w:r w:rsidRPr="008B53E8">
        <w:rPr>
          <w:rFonts w:cstheme="minorHAnsi"/>
        </w:rPr>
        <w:t>Title:</w:t>
      </w:r>
      <w:r w:rsidR="005C7D4C" w:rsidRPr="008B53E8">
        <w:rPr>
          <w:rFonts w:cstheme="minorHAnsi"/>
        </w:rPr>
        <w:t xml:space="preserve"> How native-Chinese speakers establish discourse-level mental representations of English-language academic texts: A mixed method study</w:t>
      </w:r>
    </w:p>
    <w:p w14:paraId="22EDB2ED" w14:textId="6D025474" w:rsidR="0011722B" w:rsidRPr="008B53E8" w:rsidRDefault="00B1468E" w:rsidP="0011722B">
      <w:pPr>
        <w:rPr>
          <w:rFonts w:cstheme="minorHAnsi"/>
        </w:rPr>
      </w:pPr>
      <w:r w:rsidRPr="008B53E8">
        <w:rPr>
          <w:rFonts w:cstheme="minorHAnsi"/>
        </w:rPr>
        <w:t xml:space="preserve">Dates: 1 October 2017 </w:t>
      </w:r>
      <w:r w:rsidR="00BD3789" w:rsidRPr="008B53E8">
        <w:rPr>
          <w:rFonts w:cstheme="minorHAnsi"/>
        </w:rPr>
        <w:t>–</w:t>
      </w:r>
      <w:r w:rsidRPr="008B53E8">
        <w:rPr>
          <w:rFonts w:cstheme="minorHAnsi"/>
        </w:rPr>
        <w:t xml:space="preserve"> </w:t>
      </w:r>
      <w:r w:rsidR="00BD3789" w:rsidRPr="008B53E8">
        <w:rPr>
          <w:rFonts w:cstheme="minorHAnsi"/>
        </w:rPr>
        <w:t>1 October</w:t>
      </w:r>
      <w:r w:rsidR="009F4356" w:rsidRPr="008B53E8">
        <w:rPr>
          <w:rFonts w:cstheme="minorHAnsi"/>
        </w:rPr>
        <w:t xml:space="preserve"> 2021</w:t>
      </w:r>
    </w:p>
    <w:p w14:paraId="708DA679" w14:textId="60F12FCA" w:rsidR="009F4356" w:rsidRPr="008B53E8" w:rsidRDefault="009F4356" w:rsidP="0011722B">
      <w:pPr>
        <w:rPr>
          <w:rFonts w:cstheme="minorHAnsi"/>
        </w:rPr>
      </w:pPr>
      <w:r w:rsidRPr="008B53E8">
        <w:rPr>
          <w:rFonts w:cstheme="minorHAnsi"/>
        </w:rPr>
        <w:t>Funding organisation: SeNSS-ESRC</w:t>
      </w:r>
    </w:p>
    <w:p w14:paraId="23780C2F" w14:textId="73E26AAE" w:rsidR="009F4356" w:rsidRPr="008B53E8" w:rsidRDefault="009F4356" w:rsidP="0011722B">
      <w:pPr>
        <w:rPr>
          <w:rFonts w:cstheme="minorHAnsi"/>
        </w:rPr>
      </w:pPr>
      <w:r w:rsidRPr="008B53E8">
        <w:rPr>
          <w:rFonts w:cstheme="minorHAnsi"/>
        </w:rPr>
        <w:t>Gran</w:t>
      </w:r>
      <w:r w:rsidR="00356686" w:rsidRPr="008B53E8">
        <w:rPr>
          <w:rFonts w:cstheme="minorHAnsi"/>
        </w:rPr>
        <w:t xml:space="preserve">t number: </w:t>
      </w:r>
      <w:r w:rsidR="00CB2B51" w:rsidRPr="008B53E8">
        <w:rPr>
          <w:rFonts w:cstheme="minorHAnsi"/>
        </w:rPr>
        <w:t>ES/P00072X/1</w:t>
      </w:r>
    </w:p>
    <w:p w14:paraId="0CD572B7" w14:textId="77777777" w:rsidR="00457A41" w:rsidRPr="008B53E8" w:rsidRDefault="00457A41" w:rsidP="0011722B">
      <w:pPr>
        <w:rPr>
          <w:rFonts w:cstheme="minorHAnsi"/>
        </w:rPr>
      </w:pPr>
    </w:p>
    <w:p w14:paraId="3170BCE4" w14:textId="13CE8EF9" w:rsidR="00AF2200" w:rsidRPr="008B53E8" w:rsidRDefault="00AF2200" w:rsidP="00AF2200">
      <w:pPr>
        <w:pStyle w:val="ListParagraph"/>
        <w:numPr>
          <w:ilvl w:val="0"/>
          <w:numId w:val="1"/>
        </w:numPr>
        <w:rPr>
          <w:rFonts w:cstheme="minorHAnsi"/>
        </w:rPr>
      </w:pPr>
      <w:r w:rsidRPr="008B53E8">
        <w:rPr>
          <w:rFonts w:cstheme="minorHAnsi"/>
        </w:rPr>
        <w:t>CONTENTS</w:t>
      </w:r>
    </w:p>
    <w:p w14:paraId="5AE056E4" w14:textId="77777777" w:rsidR="00AF2200" w:rsidRPr="008B53E8" w:rsidRDefault="00AF2200" w:rsidP="00AF2200">
      <w:pPr>
        <w:rPr>
          <w:rFonts w:cstheme="minorHAnsi"/>
        </w:rPr>
      </w:pPr>
      <w:r w:rsidRPr="008B53E8">
        <w:rPr>
          <w:rFonts w:cstheme="minorHAnsi"/>
        </w:rPr>
        <w:t>----------------------------</w:t>
      </w:r>
    </w:p>
    <w:p w14:paraId="405E141F" w14:textId="4F9DCDF6" w:rsidR="00AF2200" w:rsidRPr="008B53E8" w:rsidRDefault="00382457" w:rsidP="00AF2200">
      <w:pPr>
        <w:rPr>
          <w:rFonts w:cstheme="minorHAnsi"/>
        </w:rPr>
      </w:pPr>
      <w:r w:rsidRPr="008B53E8">
        <w:rPr>
          <w:rFonts w:cstheme="minorHAnsi"/>
        </w:rPr>
        <w:t>Eye-tracking data</w:t>
      </w:r>
      <w:r w:rsidR="004723CD" w:rsidRPr="008B53E8">
        <w:rPr>
          <w:rFonts w:cstheme="minorHAnsi"/>
        </w:rPr>
        <w:t xml:space="preserve">: </w:t>
      </w:r>
    </w:p>
    <w:p w14:paraId="48BE8F5E" w14:textId="361E22C9" w:rsidR="003F7163" w:rsidRPr="008B53E8" w:rsidRDefault="003F7163" w:rsidP="00AF2200">
      <w:pPr>
        <w:rPr>
          <w:rFonts w:cstheme="minorHAnsi"/>
        </w:rPr>
      </w:pPr>
      <w:r w:rsidRPr="003F7163">
        <w:rPr>
          <w:rFonts w:cstheme="minorHAnsi"/>
        </w:rPr>
        <w:t>ChineseReadEnglishEyetracking.csv</w:t>
      </w:r>
    </w:p>
    <w:p w14:paraId="29D53330" w14:textId="70E93F77" w:rsidR="007C5F4D" w:rsidRPr="008B53E8" w:rsidRDefault="007C5F4D" w:rsidP="00AF2200">
      <w:pPr>
        <w:rPr>
          <w:rFonts w:cstheme="minorHAnsi"/>
        </w:rPr>
      </w:pPr>
      <w:r w:rsidRPr="008B53E8">
        <w:rPr>
          <w:rFonts w:cstheme="minorHAnsi"/>
        </w:rPr>
        <w:lastRenderedPageBreak/>
        <w:t>Think-aloud interview transcripts</w:t>
      </w:r>
      <w:r w:rsidR="0056667F" w:rsidRPr="008B53E8">
        <w:rPr>
          <w:rFonts w:cstheme="minorHAnsi"/>
        </w:rPr>
        <w:t>.</w:t>
      </w:r>
      <w:r w:rsidR="00797654" w:rsidRPr="008B53E8">
        <w:rPr>
          <w:rFonts w:cstheme="minorHAnsi"/>
        </w:rPr>
        <w:t xml:space="preserve"> Initial</w:t>
      </w:r>
      <w:r w:rsidR="0056667F" w:rsidRPr="008B53E8">
        <w:rPr>
          <w:rFonts w:cstheme="minorHAnsi"/>
        </w:rPr>
        <w:t xml:space="preserve"> </w:t>
      </w:r>
      <w:r w:rsidR="00797654" w:rsidRPr="008B53E8">
        <w:rPr>
          <w:rFonts w:cstheme="minorHAnsi"/>
        </w:rPr>
        <w:t>three-digi</w:t>
      </w:r>
      <w:r w:rsidR="00D75A29" w:rsidRPr="008B53E8">
        <w:rPr>
          <w:rFonts w:cstheme="minorHAnsi"/>
        </w:rPr>
        <w:t>ts indicate</w:t>
      </w:r>
      <w:r w:rsidR="0056667F" w:rsidRPr="008B53E8">
        <w:rPr>
          <w:rFonts w:cstheme="minorHAnsi"/>
        </w:rPr>
        <w:t xml:space="preserve"> the participant </w:t>
      </w:r>
      <w:r w:rsidR="00D75A29" w:rsidRPr="008B53E8">
        <w:rPr>
          <w:rFonts w:cstheme="minorHAnsi"/>
        </w:rPr>
        <w:t>number</w:t>
      </w:r>
      <w:r w:rsidR="00A059C0" w:rsidRPr="008B53E8">
        <w:rPr>
          <w:rFonts w:cstheme="minorHAnsi"/>
        </w:rPr>
        <w:t>_</w:t>
      </w:r>
      <w:r w:rsidR="00B25EE0" w:rsidRPr="008B53E8">
        <w:rPr>
          <w:rFonts w:cstheme="minorHAnsi"/>
        </w:rPr>
        <w:t xml:space="preserve"> IeltsG1 = Lower-intermediate reading proficiency group, IeltsG2 = intermediate reading proficiency </w:t>
      </w:r>
      <w:r w:rsidR="00537D54" w:rsidRPr="008B53E8">
        <w:rPr>
          <w:rFonts w:cstheme="minorHAnsi"/>
        </w:rPr>
        <w:t>group, IeltsG3 = upper-intermediate reading proficiency gr</w:t>
      </w:r>
      <w:r w:rsidR="00A059C0" w:rsidRPr="008B53E8">
        <w:rPr>
          <w:rFonts w:cstheme="minorHAnsi"/>
        </w:rPr>
        <w:t xml:space="preserve">oup_ Final number </w:t>
      </w:r>
      <w:r w:rsidR="00CD3C54" w:rsidRPr="008B53E8">
        <w:rPr>
          <w:rFonts w:cstheme="minorHAnsi"/>
        </w:rPr>
        <w:t>indicates</w:t>
      </w:r>
      <w:r w:rsidR="00A059C0" w:rsidRPr="008B53E8">
        <w:rPr>
          <w:rFonts w:cstheme="minorHAnsi"/>
        </w:rPr>
        <w:t xml:space="preserve"> participant Ielts reading score</w:t>
      </w:r>
      <w:r w:rsidR="00087587" w:rsidRPr="008B53E8">
        <w:rPr>
          <w:rFonts w:cstheme="minorHAnsi"/>
        </w:rPr>
        <w:t>:</w:t>
      </w:r>
    </w:p>
    <w:p w14:paraId="5DE4E280" w14:textId="263A81AD" w:rsidR="00087587" w:rsidRPr="008B53E8" w:rsidRDefault="00E968B8" w:rsidP="00AF2200">
      <w:pPr>
        <w:rPr>
          <w:rFonts w:cstheme="minorHAnsi"/>
        </w:rPr>
      </w:pPr>
      <w:r w:rsidRPr="008B53E8">
        <w:rPr>
          <w:rFonts w:cstheme="minorHAnsi"/>
        </w:rPr>
        <w:t>004_IeltsG2_6.5.docx</w:t>
      </w:r>
    </w:p>
    <w:p w14:paraId="2866C6D1" w14:textId="279E18E6" w:rsidR="00E968B8" w:rsidRPr="008B53E8" w:rsidRDefault="00E968B8" w:rsidP="00AF2200">
      <w:pPr>
        <w:rPr>
          <w:rFonts w:cstheme="minorHAnsi"/>
        </w:rPr>
      </w:pPr>
      <w:r w:rsidRPr="008B53E8">
        <w:rPr>
          <w:rFonts w:cstheme="minorHAnsi"/>
        </w:rPr>
        <w:t>005_IeltsG2_6.5.docx</w:t>
      </w:r>
    </w:p>
    <w:p w14:paraId="3C19FA24" w14:textId="4D36CE18" w:rsidR="00E968B8" w:rsidRPr="008B53E8" w:rsidRDefault="00DB4E1C" w:rsidP="00AF2200">
      <w:pPr>
        <w:rPr>
          <w:rFonts w:cstheme="minorHAnsi"/>
        </w:rPr>
      </w:pPr>
      <w:r w:rsidRPr="008B53E8">
        <w:rPr>
          <w:rFonts w:cstheme="minorHAnsi"/>
        </w:rPr>
        <w:t>006_IeltsG3_8.docx</w:t>
      </w:r>
    </w:p>
    <w:p w14:paraId="2CA63F46" w14:textId="2B448F93" w:rsidR="00DB4E1C" w:rsidRPr="008B53E8" w:rsidRDefault="00DB4E1C" w:rsidP="00AF2200">
      <w:pPr>
        <w:rPr>
          <w:rFonts w:cstheme="minorHAnsi"/>
        </w:rPr>
      </w:pPr>
      <w:r w:rsidRPr="008B53E8">
        <w:rPr>
          <w:rFonts w:cstheme="minorHAnsi"/>
        </w:rPr>
        <w:t>008_IeltsG3_7.5.docx</w:t>
      </w:r>
    </w:p>
    <w:p w14:paraId="67E1BA8C" w14:textId="080D7935" w:rsidR="00DB4E1C" w:rsidRPr="008B53E8" w:rsidRDefault="00DB4E1C" w:rsidP="00AF2200">
      <w:pPr>
        <w:rPr>
          <w:rFonts w:cstheme="minorHAnsi"/>
        </w:rPr>
      </w:pPr>
      <w:r w:rsidRPr="008B53E8">
        <w:rPr>
          <w:rFonts w:cstheme="minorHAnsi"/>
        </w:rPr>
        <w:t>009_IeltsG3_7.5.docx</w:t>
      </w:r>
    </w:p>
    <w:p w14:paraId="697D58B7" w14:textId="541DF6CF" w:rsidR="00AF2200" w:rsidRPr="008B53E8" w:rsidRDefault="002714F3" w:rsidP="00AF2200">
      <w:pPr>
        <w:rPr>
          <w:rFonts w:cstheme="minorHAnsi"/>
        </w:rPr>
      </w:pPr>
      <w:r w:rsidRPr="008B53E8">
        <w:rPr>
          <w:rFonts w:cstheme="minorHAnsi"/>
        </w:rPr>
        <w:t>013_IeltsG1_5.5.docx</w:t>
      </w:r>
    </w:p>
    <w:p w14:paraId="351F0D8F" w14:textId="55EA3F89" w:rsidR="002714F3" w:rsidRPr="008B53E8" w:rsidRDefault="002714F3" w:rsidP="00AF2200">
      <w:pPr>
        <w:rPr>
          <w:rFonts w:cstheme="minorHAnsi"/>
        </w:rPr>
      </w:pPr>
      <w:r w:rsidRPr="008B53E8">
        <w:rPr>
          <w:rFonts w:cstheme="minorHAnsi"/>
        </w:rPr>
        <w:t>015_IeltsG3_7.5.docx</w:t>
      </w:r>
    </w:p>
    <w:p w14:paraId="1B457180" w14:textId="39DE7B4C" w:rsidR="00C443E4" w:rsidRPr="008B53E8" w:rsidRDefault="00C443E4" w:rsidP="00AF2200">
      <w:pPr>
        <w:rPr>
          <w:rFonts w:cstheme="minorHAnsi"/>
        </w:rPr>
      </w:pPr>
      <w:r w:rsidRPr="008B53E8">
        <w:rPr>
          <w:rFonts w:cstheme="minorHAnsi"/>
        </w:rPr>
        <w:t>017_IeltsG1_6.docx</w:t>
      </w:r>
    </w:p>
    <w:p w14:paraId="7F754098" w14:textId="1C92C647" w:rsidR="00C443E4" w:rsidRPr="008B53E8" w:rsidRDefault="00C443E4" w:rsidP="00AF2200">
      <w:pPr>
        <w:rPr>
          <w:rFonts w:cstheme="minorHAnsi"/>
        </w:rPr>
      </w:pPr>
      <w:r w:rsidRPr="008B53E8">
        <w:rPr>
          <w:rFonts w:cstheme="minorHAnsi"/>
        </w:rPr>
        <w:t>023_IeltsG1_5.5.docx</w:t>
      </w:r>
    </w:p>
    <w:p w14:paraId="7228D43B" w14:textId="04688B37" w:rsidR="00C443E4" w:rsidRPr="008B53E8" w:rsidRDefault="007A0C8F" w:rsidP="00AF2200">
      <w:pPr>
        <w:rPr>
          <w:rFonts w:cstheme="minorHAnsi"/>
        </w:rPr>
      </w:pPr>
      <w:r w:rsidRPr="008B53E8">
        <w:rPr>
          <w:rFonts w:cstheme="minorHAnsi"/>
        </w:rPr>
        <w:t>025_Ielts G1_5.docx</w:t>
      </w:r>
    </w:p>
    <w:p w14:paraId="668A71CE" w14:textId="587E8E72" w:rsidR="007A0C8F" w:rsidRPr="008B53E8" w:rsidRDefault="007A0C8F" w:rsidP="00AF2200">
      <w:pPr>
        <w:rPr>
          <w:rFonts w:cstheme="minorHAnsi"/>
        </w:rPr>
      </w:pPr>
      <w:r w:rsidRPr="008B53E8">
        <w:rPr>
          <w:rFonts w:cstheme="minorHAnsi"/>
        </w:rPr>
        <w:t>028_IeltsG1_6.docx</w:t>
      </w:r>
    </w:p>
    <w:p w14:paraId="4486D8F2" w14:textId="0C1D69D0" w:rsidR="007A0C8F" w:rsidRPr="008B53E8" w:rsidRDefault="00296DF1" w:rsidP="00AF2200">
      <w:pPr>
        <w:rPr>
          <w:rFonts w:cstheme="minorHAnsi"/>
        </w:rPr>
      </w:pPr>
      <w:r w:rsidRPr="008B53E8">
        <w:rPr>
          <w:rFonts w:cstheme="minorHAnsi"/>
        </w:rPr>
        <w:t>029_IeltsG3_8.5.docx</w:t>
      </w:r>
    </w:p>
    <w:p w14:paraId="0BCC1B4B" w14:textId="13A99C23" w:rsidR="00296DF1" w:rsidRPr="008B53E8" w:rsidRDefault="00296DF1" w:rsidP="00AF2200">
      <w:pPr>
        <w:rPr>
          <w:rFonts w:cstheme="minorHAnsi"/>
        </w:rPr>
      </w:pPr>
      <w:r w:rsidRPr="008B53E8">
        <w:rPr>
          <w:rFonts w:cstheme="minorHAnsi"/>
        </w:rPr>
        <w:t>032_IeltsG1_5.5.docx</w:t>
      </w:r>
    </w:p>
    <w:p w14:paraId="268EF2F7" w14:textId="16463292" w:rsidR="00296DF1" w:rsidRPr="008B53E8" w:rsidRDefault="006F360F" w:rsidP="00AF2200">
      <w:pPr>
        <w:rPr>
          <w:rFonts w:cstheme="minorHAnsi"/>
        </w:rPr>
      </w:pPr>
      <w:r w:rsidRPr="008B53E8">
        <w:rPr>
          <w:rFonts w:cstheme="minorHAnsi"/>
        </w:rPr>
        <w:t>033_IeltsG2_6.5.docx</w:t>
      </w:r>
    </w:p>
    <w:p w14:paraId="365C4360" w14:textId="3915A5CD" w:rsidR="006F360F" w:rsidRPr="008B53E8" w:rsidRDefault="006D0335" w:rsidP="00AF2200">
      <w:pPr>
        <w:rPr>
          <w:rFonts w:cstheme="minorHAnsi"/>
        </w:rPr>
      </w:pPr>
      <w:r w:rsidRPr="008B53E8">
        <w:rPr>
          <w:rFonts w:cstheme="minorHAnsi"/>
        </w:rPr>
        <w:t>056_IeltsG3_9.docx</w:t>
      </w:r>
    </w:p>
    <w:p w14:paraId="56D91A39" w14:textId="3A3F1121" w:rsidR="006D0335" w:rsidRPr="008B53E8" w:rsidRDefault="006D0335" w:rsidP="00AF2200">
      <w:pPr>
        <w:rPr>
          <w:rFonts w:cstheme="minorHAnsi"/>
        </w:rPr>
      </w:pPr>
      <w:r w:rsidRPr="008B53E8">
        <w:rPr>
          <w:rFonts w:cstheme="minorHAnsi"/>
        </w:rPr>
        <w:t>057_IeltsG3_8.docx</w:t>
      </w:r>
    </w:p>
    <w:p w14:paraId="0E63B3DD" w14:textId="47978D6A" w:rsidR="006D0335" w:rsidRPr="008B53E8" w:rsidRDefault="004A0A99" w:rsidP="00AF2200">
      <w:pPr>
        <w:rPr>
          <w:rFonts w:cstheme="minorHAnsi"/>
        </w:rPr>
      </w:pPr>
      <w:r w:rsidRPr="008B53E8">
        <w:rPr>
          <w:rFonts w:cstheme="minorHAnsi"/>
        </w:rPr>
        <w:t>060_IeltsG2_6.5.docx</w:t>
      </w:r>
    </w:p>
    <w:p w14:paraId="05695EEC" w14:textId="4A36C6F3" w:rsidR="004A0A99" w:rsidRPr="008B53E8" w:rsidRDefault="004A0A99" w:rsidP="00AF2200">
      <w:pPr>
        <w:rPr>
          <w:rFonts w:cstheme="minorHAnsi"/>
        </w:rPr>
      </w:pPr>
      <w:r w:rsidRPr="008B53E8">
        <w:rPr>
          <w:rFonts w:cstheme="minorHAnsi"/>
        </w:rPr>
        <w:t>071_IeltsG2_7.docx</w:t>
      </w:r>
    </w:p>
    <w:p w14:paraId="61023532" w14:textId="77777777" w:rsidR="00CD3C54" w:rsidRPr="008B53E8" w:rsidRDefault="00CD3C54" w:rsidP="00AF2200">
      <w:pPr>
        <w:rPr>
          <w:rFonts w:cstheme="minorHAnsi"/>
          <w:sz w:val="20"/>
          <w:szCs w:val="20"/>
        </w:rPr>
      </w:pPr>
    </w:p>
    <w:p w14:paraId="4F43572E" w14:textId="5B04583A" w:rsidR="00CD3C54" w:rsidRPr="007F03AB" w:rsidRDefault="00CD3C54" w:rsidP="00CD3C5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03AB">
        <w:rPr>
          <w:rFonts w:cstheme="minorHAnsi"/>
          <w:sz w:val="20"/>
          <w:szCs w:val="20"/>
        </w:rPr>
        <w:t>DATA COLLECTION METHOD</w:t>
      </w:r>
    </w:p>
    <w:p w14:paraId="6221C0E8" w14:textId="77777777" w:rsidR="00B9750A" w:rsidRPr="008B53E8" w:rsidRDefault="00B9750A" w:rsidP="00B9750A">
      <w:pPr>
        <w:rPr>
          <w:rFonts w:cstheme="minorHAnsi"/>
        </w:rPr>
      </w:pPr>
      <w:r w:rsidRPr="008B53E8">
        <w:rPr>
          <w:rFonts w:cstheme="minorHAnsi"/>
        </w:rPr>
        <w:t>----------------------------</w:t>
      </w:r>
    </w:p>
    <w:p w14:paraId="011ACE1E" w14:textId="77777777" w:rsidR="00B9750A" w:rsidRPr="008B53E8" w:rsidRDefault="00B9750A" w:rsidP="00B9750A">
      <w:pPr>
        <w:rPr>
          <w:rFonts w:cstheme="minorHAnsi"/>
        </w:rPr>
      </w:pPr>
    </w:p>
    <w:p w14:paraId="32F2845D" w14:textId="4CDD99DB" w:rsidR="00575B66" w:rsidRPr="008B53E8" w:rsidRDefault="001E4649" w:rsidP="00B9750A">
      <w:pPr>
        <w:rPr>
          <w:rFonts w:cstheme="minorHAnsi"/>
        </w:rPr>
      </w:pPr>
      <w:r w:rsidRPr="008B53E8">
        <w:rPr>
          <w:rFonts w:cstheme="minorHAnsi"/>
        </w:rPr>
        <w:t xml:space="preserve">Ethics and recruitment: </w:t>
      </w:r>
    </w:p>
    <w:p w14:paraId="5BE507C9" w14:textId="3D2954F5" w:rsidR="001E4649" w:rsidRPr="008B53E8" w:rsidRDefault="00DE0147" w:rsidP="00B9750A">
      <w:pPr>
        <w:rPr>
          <w:rFonts w:cstheme="minorHAnsi"/>
        </w:rPr>
      </w:pPr>
      <w:r w:rsidRPr="008B53E8">
        <w:rPr>
          <w:rFonts w:cstheme="minorHAnsi"/>
        </w:rPr>
        <w:t>81 p</w:t>
      </w:r>
      <w:r w:rsidR="001E4649" w:rsidRPr="008B53E8">
        <w:rPr>
          <w:rFonts w:cstheme="minorHAnsi"/>
        </w:rPr>
        <w:t xml:space="preserve">articipants were recruited opportunistically from among the available university population. Efforts were made to ensure a </w:t>
      </w:r>
      <w:r w:rsidR="00D77CD9" w:rsidRPr="008B53E8">
        <w:rPr>
          <w:rFonts w:cstheme="minorHAnsi"/>
        </w:rPr>
        <w:t xml:space="preserve">roughly even range of readers with different levels of reading proficiency were represented in the sample. Prior to </w:t>
      </w:r>
      <w:r w:rsidR="00E95817" w:rsidRPr="008B53E8">
        <w:rPr>
          <w:rFonts w:cstheme="minorHAnsi"/>
        </w:rPr>
        <w:t xml:space="preserve">taking </w:t>
      </w:r>
      <w:r w:rsidR="00D77CD9" w:rsidRPr="008B53E8">
        <w:rPr>
          <w:rFonts w:cstheme="minorHAnsi"/>
        </w:rPr>
        <w:t xml:space="preserve">part in either the eye-tracking experiment or think-aloud interviews all participants were given an information sheet explaining what the study was about and what would be asked of them. Subsequently, they each signed a consent form expressly consenting not only to participate in the study, but for the data thereby collected to </w:t>
      </w:r>
      <w:r w:rsidR="0001452F" w:rsidRPr="008B53E8">
        <w:rPr>
          <w:rFonts w:cstheme="minorHAnsi"/>
        </w:rPr>
        <w:t xml:space="preserve">be held by the university once anonymised. </w:t>
      </w:r>
    </w:p>
    <w:p w14:paraId="79FCB77E" w14:textId="558FABE4" w:rsidR="0001452F" w:rsidRPr="008B53E8" w:rsidRDefault="00DE0147" w:rsidP="00B9750A">
      <w:pPr>
        <w:rPr>
          <w:rFonts w:cstheme="minorHAnsi"/>
        </w:rPr>
      </w:pPr>
      <w:r w:rsidRPr="008B53E8">
        <w:rPr>
          <w:rFonts w:cstheme="minorHAnsi"/>
        </w:rPr>
        <w:t>Eye-tracking methodology:</w:t>
      </w:r>
    </w:p>
    <w:p w14:paraId="495AEEBE" w14:textId="5C74F5F2" w:rsidR="00DE0147" w:rsidRPr="008B53E8" w:rsidRDefault="00DE0147" w:rsidP="00B9750A">
      <w:pPr>
        <w:rPr>
          <w:rFonts w:cstheme="minorHAnsi"/>
        </w:rPr>
      </w:pPr>
      <w:r w:rsidRPr="008B53E8">
        <w:rPr>
          <w:rFonts w:cstheme="minorHAnsi"/>
        </w:rPr>
        <w:t xml:space="preserve">The eye-tracking experiment was conducted using an Eye-Link Portable Duo eye-tracker. The participants each read four quasi-academic articles, </w:t>
      </w:r>
      <w:r w:rsidR="00E60DE3" w:rsidRPr="008B53E8">
        <w:rPr>
          <w:rFonts w:cstheme="minorHAnsi"/>
        </w:rPr>
        <w:t xml:space="preserve">into which a total of 36 target noun phrases were embedded. </w:t>
      </w:r>
      <w:r w:rsidR="008742A1" w:rsidRPr="008B53E8">
        <w:rPr>
          <w:rFonts w:cstheme="minorHAnsi"/>
        </w:rPr>
        <w:t>Each</w:t>
      </w:r>
      <w:r w:rsidR="00E60DE3" w:rsidRPr="008B53E8">
        <w:rPr>
          <w:rFonts w:cstheme="minorHAnsi"/>
        </w:rPr>
        <w:t xml:space="preserve"> target noun phrase </w:t>
      </w:r>
      <w:r w:rsidR="008742A1" w:rsidRPr="008B53E8">
        <w:rPr>
          <w:rFonts w:cstheme="minorHAnsi"/>
        </w:rPr>
        <w:t xml:space="preserve">appeared in one of four possible arrangements. Firstly, the noun phrase either did or did not contain a grammatical determiner (e.g. this/those). Secondly, </w:t>
      </w:r>
      <w:r w:rsidR="00BD4425" w:rsidRPr="008B53E8">
        <w:rPr>
          <w:rFonts w:cstheme="minorHAnsi"/>
        </w:rPr>
        <w:t>the noun phrases contained a modifier which was either semantically congruous or semantically incongruous</w:t>
      </w:r>
      <w:r w:rsidR="00F36369" w:rsidRPr="008B53E8">
        <w:rPr>
          <w:rFonts w:cstheme="minorHAnsi"/>
        </w:rPr>
        <w:t xml:space="preserve"> with the preceding dialogue. Eye-movement data was gathered on the head noun in the noun phrase to determine if either </w:t>
      </w:r>
      <w:r w:rsidR="001B206E" w:rsidRPr="008B53E8">
        <w:rPr>
          <w:rFonts w:cstheme="minorHAnsi"/>
        </w:rPr>
        <w:t>(</w:t>
      </w:r>
      <w:r w:rsidR="001B206E" w:rsidRPr="008B53E8">
        <w:rPr>
          <w:rFonts w:cstheme="minorHAnsi"/>
          <w:i/>
          <w:iCs/>
        </w:rPr>
        <w:t>i</w:t>
      </w:r>
      <w:r w:rsidR="001B206E" w:rsidRPr="008B53E8">
        <w:rPr>
          <w:rFonts w:cstheme="minorHAnsi"/>
        </w:rPr>
        <w:t xml:space="preserve">) </w:t>
      </w:r>
      <w:r w:rsidR="00F36369" w:rsidRPr="008B53E8">
        <w:rPr>
          <w:rFonts w:cstheme="minorHAnsi"/>
        </w:rPr>
        <w:t xml:space="preserve">the presence or absence of a determiner, </w:t>
      </w:r>
      <w:r w:rsidR="00587632" w:rsidRPr="008B53E8">
        <w:rPr>
          <w:rFonts w:cstheme="minorHAnsi"/>
        </w:rPr>
        <w:t>or (</w:t>
      </w:r>
      <w:r w:rsidR="00587632" w:rsidRPr="008B53E8">
        <w:rPr>
          <w:rFonts w:cstheme="minorHAnsi"/>
          <w:i/>
          <w:iCs/>
        </w:rPr>
        <w:t>ii</w:t>
      </w:r>
      <w:r w:rsidR="00587632" w:rsidRPr="008B53E8">
        <w:rPr>
          <w:rFonts w:cstheme="minorHAnsi"/>
        </w:rPr>
        <w:t xml:space="preserve">) the presence or absence of a semantically incongruous modifier in the noun phrases resulted in increased or decreased gaze durations. </w:t>
      </w:r>
      <w:r w:rsidR="00E17C43" w:rsidRPr="008B53E8">
        <w:rPr>
          <w:rFonts w:cstheme="minorHAnsi"/>
        </w:rPr>
        <w:t xml:space="preserve">The texts were counterbalanced so that different participants saw different configurations of the target noun phrases. </w:t>
      </w:r>
      <w:r w:rsidR="00587632" w:rsidRPr="008B53E8">
        <w:rPr>
          <w:rFonts w:cstheme="minorHAnsi"/>
        </w:rPr>
        <w:t>Altogether, four eye-tracking measures were</w:t>
      </w:r>
      <w:r w:rsidR="0054351D" w:rsidRPr="008B53E8">
        <w:rPr>
          <w:rFonts w:cstheme="minorHAnsi"/>
        </w:rPr>
        <w:t xml:space="preserve"> used, comprising two early and two late measures. The early measures were </w:t>
      </w:r>
      <w:r w:rsidR="00C3421A" w:rsidRPr="008B53E8">
        <w:rPr>
          <w:rFonts w:cstheme="minorHAnsi"/>
        </w:rPr>
        <w:t>First Fixation Duration and Gaze Duration. The late measures were Selective Regression Path Duration and Second Pass Reading time (calculated by subtracting Gaze Duration from Total Reading Time)</w:t>
      </w:r>
      <w:r w:rsidR="00513689" w:rsidRPr="008B53E8">
        <w:rPr>
          <w:rFonts w:cstheme="minorHAnsi"/>
        </w:rPr>
        <w:t xml:space="preserve">. </w:t>
      </w:r>
    </w:p>
    <w:p w14:paraId="54ACD0D6" w14:textId="053D9EAC" w:rsidR="00DE0147" w:rsidRPr="008B53E8" w:rsidRDefault="009F261B" w:rsidP="00B9750A">
      <w:pPr>
        <w:rPr>
          <w:rFonts w:cstheme="minorHAnsi"/>
        </w:rPr>
      </w:pPr>
      <w:r w:rsidRPr="008B53E8">
        <w:rPr>
          <w:rFonts w:cstheme="minorHAnsi"/>
        </w:rPr>
        <w:t>The think-aloud interviews were conducted between a week and ten days after the</w:t>
      </w:r>
      <w:r w:rsidR="00DF4990" w:rsidRPr="008B53E8">
        <w:rPr>
          <w:rFonts w:cstheme="minorHAnsi"/>
        </w:rPr>
        <w:t xml:space="preserve"> eye-tracking experiment</w:t>
      </w:r>
      <w:r w:rsidR="00AF3771" w:rsidRPr="008B53E8">
        <w:rPr>
          <w:rFonts w:cstheme="minorHAnsi"/>
        </w:rPr>
        <w:t xml:space="preserve"> with eighteen participants who had also taken part in the eye-tracking experiment. </w:t>
      </w:r>
      <w:r w:rsidR="002F4D9B" w:rsidRPr="008B53E8">
        <w:rPr>
          <w:rFonts w:cstheme="minorHAnsi"/>
        </w:rPr>
        <w:t xml:space="preserve">The think-aloud interviews consisted </w:t>
      </w:r>
      <w:r w:rsidR="00156DFA" w:rsidRPr="008B53E8">
        <w:rPr>
          <w:rFonts w:cstheme="minorHAnsi"/>
        </w:rPr>
        <w:t xml:space="preserve">of </w:t>
      </w:r>
      <w:r w:rsidR="002F4D9B" w:rsidRPr="008B53E8">
        <w:rPr>
          <w:rFonts w:cstheme="minorHAnsi"/>
        </w:rPr>
        <w:t xml:space="preserve">two parts. In the first part the participants were asked to voice </w:t>
      </w:r>
      <w:r w:rsidR="003D61A2" w:rsidRPr="008B53E8">
        <w:rPr>
          <w:rFonts w:cstheme="minorHAnsi"/>
        </w:rPr>
        <w:t>their</w:t>
      </w:r>
      <w:r w:rsidR="002F4D9B" w:rsidRPr="008B53E8">
        <w:rPr>
          <w:rFonts w:cstheme="minorHAnsi"/>
        </w:rPr>
        <w:t xml:space="preserve"> thoughts as they read one of the texts used in the eye-tracking experiment. </w:t>
      </w:r>
      <w:r w:rsidR="003D61A2" w:rsidRPr="008B53E8">
        <w:rPr>
          <w:rFonts w:cstheme="minorHAnsi"/>
        </w:rPr>
        <w:t>During this phrase, they were asked to voice their thoughts in respect of found issues:</w:t>
      </w: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967"/>
        <w:gridCol w:w="4196"/>
      </w:tblGrid>
      <w:tr w:rsidR="002C2D3A" w:rsidRPr="008B53E8" w14:paraId="3A541F94" w14:textId="77777777" w:rsidTr="001C3A4C">
        <w:tc>
          <w:tcPr>
            <w:tcW w:w="562" w:type="dxa"/>
          </w:tcPr>
          <w:p w14:paraId="57BF7E20" w14:textId="77777777" w:rsidR="002C2D3A" w:rsidRPr="008B53E8" w:rsidRDefault="002C2D3A" w:rsidP="002C2D3A">
            <w:pPr>
              <w:numPr>
                <w:ilvl w:val="0"/>
                <w:numId w:val="2"/>
              </w:numPr>
              <w:spacing w:line="276" w:lineRule="auto"/>
              <w:ind w:hanging="1053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7" w:type="dxa"/>
          </w:tcPr>
          <w:p w14:paraId="6856725B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How they thought the sentences in the text were related to each other</w:t>
            </w:r>
          </w:p>
        </w:tc>
        <w:tc>
          <w:tcPr>
            <w:tcW w:w="4196" w:type="dxa"/>
          </w:tcPr>
          <w:p w14:paraId="576DFA01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investigate if they had integrated information in the target noun phrases</w:t>
            </w:r>
          </w:p>
          <w:p w14:paraId="311CD640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2C2D3A" w:rsidRPr="008B53E8" w14:paraId="7DD257A9" w14:textId="77777777" w:rsidTr="001C3A4C">
        <w:tc>
          <w:tcPr>
            <w:tcW w:w="562" w:type="dxa"/>
          </w:tcPr>
          <w:p w14:paraId="484C51CC" w14:textId="77777777" w:rsidR="002C2D3A" w:rsidRPr="008B53E8" w:rsidRDefault="002C2D3A" w:rsidP="002C2D3A">
            <w:pPr>
              <w:numPr>
                <w:ilvl w:val="0"/>
                <w:numId w:val="2"/>
              </w:numPr>
              <w:spacing w:line="276" w:lineRule="auto"/>
              <w:ind w:hanging="1053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7" w:type="dxa"/>
          </w:tcPr>
          <w:p w14:paraId="32EAE191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How they knew the sentences in the text were related to each other</w:t>
            </w:r>
          </w:p>
        </w:tc>
        <w:tc>
          <w:tcPr>
            <w:tcW w:w="4196" w:type="dxa"/>
          </w:tcPr>
          <w:p w14:paraId="77DC4513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investigate what knowledge resources they drew upon if they integrated information in the target noun phrases</w:t>
            </w:r>
          </w:p>
          <w:p w14:paraId="5852DC18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2C2D3A" w:rsidRPr="008B53E8" w14:paraId="6C991867" w14:textId="77777777" w:rsidTr="001C3A4C">
        <w:tc>
          <w:tcPr>
            <w:tcW w:w="562" w:type="dxa"/>
          </w:tcPr>
          <w:p w14:paraId="0979F186" w14:textId="77777777" w:rsidR="002C2D3A" w:rsidRPr="008B53E8" w:rsidRDefault="002C2D3A" w:rsidP="002C2D3A">
            <w:pPr>
              <w:numPr>
                <w:ilvl w:val="0"/>
                <w:numId w:val="2"/>
              </w:numPr>
              <w:spacing w:line="276" w:lineRule="auto"/>
              <w:ind w:hanging="1053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7" w:type="dxa"/>
          </w:tcPr>
          <w:p w14:paraId="2633505D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What, if any, comprehension difficulties they experienced as they read</w:t>
            </w:r>
          </w:p>
        </w:tc>
        <w:tc>
          <w:tcPr>
            <w:tcW w:w="4196" w:type="dxa"/>
          </w:tcPr>
          <w:p w14:paraId="199EB97C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 to investigate what, if any, comprehension difficulties they faced</w:t>
            </w:r>
          </w:p>
          <w:p w14:paraId="793E7846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2C2D3A" w:rsidRPr="008B53E8" w14:paraId="79C8B07F" w14:textId="77777777" w:rsidTr="001C3A4C">
        <w:tc>
          <w:tcPr>
            <w:tcW w:w="562" w:type="dxa"/>
          </w:tcPr>
          <w:p w14:paraId="484A14BD" w14:textId="77777777" w:rsidR="002C2D3A" w:rsidRPr="008B53E8" w:rsidRDefault="002C2D3A" w:rsidP="002C2D3A">
            <w:pPr>
              <w:numPr>
                <w:ilvl w:val="0"/>
                <w:numId w:val="2"/>
              </w:numPr>
              <w:spacing w:line="276" w:lineRule="auto"/>
              <w:ind w:left="311" w:hanging="284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7" w:type="dxa"/>
          </w:tcPr>
          <w:p w14:paraId="5D0A7119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What, if any, comprehension regulations strategies they used to overcome any such difficulties</w:t>
            </w:r>
          </w:p>
        </w:tc>
        <w:tc>
          <w:tcPr>
            <w:tcW w:w="4196" w:type="dxa"/>
          </w:tcPr>
          <w:p w14:paraId="74A1AF22" w14:textId="77777777" w:rsidR="002C2D3A" w:rsidRPr="008B53E8" w:rsidRDefault="002C2D3A" w:rsidP="001C3A4C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investigate what, if any, comprehension regulation strategies they favoured</w:t>
            </w:r>
          </w:p>
        </w:tc>
      </w:tr>
    </w:tbl>
    <w:p w14:paraId="6CEA500B" w14:textId="77777777" w:rsidR="003D61A2" w:rsidRPr="008B53E8" w:rsidRDefault="003D61A2" w:rsidP="00B9750A">
      <w:pPr>
        <w:rPr>
          <w:rFonts w:cstheme="minorHAnsi"/>
        </w:rPr>
      </w:pPr>
    </w:p>
    <w:p w14:paraId="0EB2BC9E" w14:textId="53B082E9" w:rsidR="008C49C5" w:rsidRPr="008B53E8" w:rsidRDefault="008C49C5" w:rsidP="00B9750A">
      <w:pPr>
        <w:rPr>
          <w:rFonts w:cstheme="minorHAnsi"/>
        </w:rPr>
      </w:pPr>
      <w:r w:rsidRPr="008B53E8">
        <w:rPr>
          <w:rFonts w:cstheme="minorHAnsi"/>
        </w:rPr>
        <w:t>Secondly, the participants were asked to engage in an anaphor resolution task, whereby they were asked the following questions about each of the target noun phrases:</w:t>
      </w:r>
    </w:p>
    <w:tbl>
      <w:tblPr>
        <w:tblStyle w:val="TableGrid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07"/>
      </w:tblGrid>
      <w:tr w:rsidR="008F088D" w:rsidRPr="008B53E8" w14:paraId="7D15078C" w14:textId="77777777" w:rsidTr="001C3A4C">
        <w:trPr>
          <w:trHeight w:val="546"/>
        </w:trPr>
        <w:tc>
          <w:tcPr>
            <w:tcW w:w="421" w:type="dxa"/>
          </w:tcPr>
          <w:p w14:paraId="7EF65776" w14:textId="77777777" w:rsidR="008F088D" w:rsidRPr="008B53E8" w:rsidRDefault="008F088D" w:rsidP="001C3A4C">
            <w:pPr>
              <w:rPr>
                <w:rFonts w:cstheme="minorHAnsi"/>
                <w:sz w:val="18"/>
                <w:szCs w:val="18"/>
              </w:rPr>
            </w:pPr>
            <w:r w:rsidRPr="008B53E8">
              <w:rPr>
                <w:rFonts w:cstheme="minorHAnsi"/>
                <w:sz w:val="18"/>
                <w:szCs w:val="18"/>
              </w:rPr>
              <w:t xml:space="preserve">i) </w:t>
            </w:r>
          </w:p>
        </w:tc>
        <w:tc>
          <w:tcPr>
            <w:tcW w:w="2976" w:type="dxa"/>
          </w:tcPr>
          <w:p w14:paraId="4B863E15" w14:textId="77777777" w:rsidR="008F088D" w:rsidRPr="008B53E8" w:rsidRDefault="008F088D" w:rsidP="001C3A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What does this word (the main noun in the target noun phrase) refer to?</w:t>
            </w:r>
          </w:p>
          <w:p w14:paraId="78087AFA" w14:textId="77777777" w:rsidR="008F088D" w:rsidRPr="008B53E8" w:rsidRDefault="008F088D" w:rsidP="001C3A4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</w:tcPr>
          <w:p w14:paraId="7862B05E" w14:textId="77777777" w:rsidR="008F088D" w:rsidRPr="008B53E8" w:rsidRDefault="008F088D" w:rsidP="001C3A4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test the participant’s ability to integrate the noun phrase with its antecedent</w:t>
            </w:r>
          </w:p>
        </w:tc>
      </w:tr>
      <w:tr w:rsidR="008F088D" w:rsidRPr="008B53E8" w14:paraId="56000424" w14:textId="77777777" w:rsidTr="001C3A4C">
        <w:trPr>
          <w:trHeight w:val="557"/>
        </w:trPr>
        <w:tc>
          <w:tcPr>
            <w:tcW w:w="421" w:type="dxa"/>
          </w:tcPr>
          <w:p w14:paraId="2ACF7A60" w14:textId="77777777" w:rsidR="008F088D" w:rsidRPr="008B53E8" w:rsidRDefault="008F088D" w:rsidP="001C3A4C">
            <w:pPr>
              <w:rPr>
                <w:rFonts w:cstheme="minorHAnsi"/>
                <w:sz w:val="18"/>
                <w:szCs w:val="18"/>
              </w:rPr>
            </w:pPr>
            <w:r w:rsidRPr="008B53E8">
              <w:rPr>
                <w:rFonts w:cstheme="minorHAnsi"/>
                <w:sz w:val="18"/>
                <w:szCs w:val="18"/>
              </w:rPr>
              <w:t>ii)</w:t>
            </w:r>
          </w:p>
        </w:tc>
        <w:tc>
          <w:tcPr>
            <w:tcW w:w="2976" w:type="dxa"/>
          </w:tcPr>
          <w:p w14:paraId="749679BB" w14:textId="77777777" w:rsidR="008F088D" w:rsidRPr="008B53E8" w:rsidRDefault="008F088D" w:rsidP="001C3A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How do you know this?</w:t>
            </w:r>
          </w:p>
        </w:tc>
        <w:tc>
          <w:tcPr>
            <w:tcW w:w="5807" w:type="dxa"/>
          </w:tcPr>
          <w:p w14:paraId="4BC8F85D" w14:textId="77777777" w:rsidR="008F088D" w:rsidRPr="008B53E8" w:rsidRDefault="008F088D" w:rsidP="001C3A4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explore what knowledge resources the participant drew upon to integrate the noun phrase with its antecedent</w:t>
            </w:r>
          </w:p>
          <w:p w14:paraId="77ECE452" w14:textId="77777777" w:rsidR="008F088D" w:rsidRPr="008B53E8" w:rsidRDefault="008F088D" w:rsidP="001C3A4C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8F088D" w:rsidRPr="008B53E8" w14:paraId="09145F2C" w14:textId="77777777" w:rsidTr="001C3A4C">
        <w:trPr>
          <w:trHeight w:val="748"/>
        </w:trPr>
        <w:tc>
          <w:tcPr>
            <w:tcW w:w="421" w:type="dxa"/>
          </w:tcPr>
          <w:p w14:paraId="59ABB7B6" w14:textId="77777777" w:rsidR="008F088D" w:rsidRPr="008B53E8" w:rsidRDefault="008F088D" w:rsidP="001C3A4C">
            <w:pPr>
              <w:rPr>
                <w:rFonts w:cstheme="minorHAnsi"/>
                <w:sz w:val="18"/>
                <w:szCs w:val="18"/>
              </w:rPr>
            </w:pPr>
            <w:r w:rsidRPr="008B53E8">
              <w:rPr>
                <w:rFonts w:cstheme="minorHAnsi"/>
                <w:sz w:val="18"/>
                <w:szCs w:val="18"/>
              </w:rPr>
              <w:t>iii)</w:t>
            </w:r>
          </w:p>
        </w:tc>
        <w:tc>
          <w:tcPr>
            <w:tcW w:w="2976" w:type="dxa"/>
          </w:tcPr>
          <w:p w14:paraId="2BB3AAC5" w14:textId="77777777" w:rsidR="008F088D" w:rsidRPr="008B53E8" w:rsidRDefault="008F088D" w:rsidP="001C3A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What does the word mean in Chinese?</w:t>
            </w:r>
          </w:p>
        </w:tc>
        <w:tc>
          <w:tcPr>
            <w:tcW w:w="5807" w:type="dxa"/>
          </w:tcPr>
          <w:p w14:paraId="26AAFF64" w14:textId="77777777" w:rsidR="008F088D" w:rsidRPr="008B53E8" w:rsidRDefault="008F088D" w:rsidP="001C3A4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test if the participant had correctly understood the word</w:t>
            </w:r>
          </w:p>
        </w:tc>
      </w:tr>
      <w:tr w:rsidR="008F088D" w:rsidRPr="008B53E8" w14:paraId="0DAD5A82" w14:textId="77777777" w:rsidTr="001C3A4C">
        <w:trPr>
          <w:trHeight w:val="699"/>
        </w:trPr>
        <w:tc>
          <w:tcPr>
            <w:tcW w:w="421" w:type="dxa"/>
          </w:tcPr>
          <w:p w14:paraId="6D93C52B" w14:textId="77777777" w:rsidR="008F088D" w:rsidRPr="008B53E8" w:rsidRDefault="008F088D" w:rsidP="001C3A4C">
            <w:pPr>
              <w:rPr>
                <w:rFonts w:cstheme="minorHAnsi"/>
                <w:sz w:val="18"/>
                <w:szCs w:val="18"/>
              </w:rPr>
            </w:pPr>
            <w:r w:rsidRPr="008B53E8">
              <w:rPr>
                <w:rFonts w:cstheme="minorHAnsi"/>
                <w:sz w:val="18"/>
                <w:szCs w:val="18"/>
              </w:rPr>
              <w:t>iv)</w:t>
            </w:r>
          </w:p>
        </w:tc>
        <w:tc>
          <w:tcPr>
            <w:tcW w:w="2976" w:type="dxa"/>
          </w:tcPr>
          <w:p w14:paraId="58FFE693" w14:textId="77777777" w:rsidR="008F088D" w:rsidRPr="008B53E8" w:rsidRDefault="008F088D" w:rsidP="001C3A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What adjective did the writer use to describe this word?</w:t>
            </w:r>
          </w:p>
        </w:tc>
        <w:tc>
          <w:tcPr>
            <w:tcW w:w="5807" w:type="dxa"/>
          </w:tcPr>
          <w:p w14:paraId="6C3D7B3A" w14:textId="77777777" w:rsidR="008F088D" w:rsidRPr="008B53E8" w:rsidRDefault="008F088D" w:rsidP="001C3A4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draw the participant’s attention to the incongruent word</w:t>
            </w:r>
          </w:p>
        </w:tc>
      </w:tr>
      <w:tr w:rsidR="008F088D" w:rsidRPr="008B53E8" w14:paraId="5093EAD7" w14:textId="77777777" w:rsidTr="001C3A4C">
        <w:trPr>
          <w:trHeight w:val="684"/>
        </w:trPr>
        <w:tc>
          <w:tcPr>
            <w:tcW w:w="421" w:type="dxa"/>
          </w:tcPr>
          <w:p w14:paraId="4E75D935" w14:textId="77777777" w:rsidR="008F088D" w:rsidRPr="008B53E8" w:rsidRDefault="008F088D" w:rsidP="001C3A4C">
            <w:pPr>
              <w:rPr>
                <w:rFonts w:cstheme="minorHAnsi"/>
                <w:sz w:val="18"/>
                <w:szCs w:val="18"/>
              </w:rPr>
            </w:pPr>
            <w:r w:rsidRPr="008B53E8">
              <w:rPr>
                <w:rFonts w:cstheme="minorHAnsi"/>
                <w:sz w:val="18"/>
                <w:szCs w:val="18"/>
              </w:rPr>
              <w:t>v)</w:t>
            </w:r>
          </w:p>
        </w:tc>
        <w:tc>
          <w:tcPr>
            <w:tcW w:w="2976" w:type="dxa"/>
          </w:tcPr>
          <w:p w14:paraId="1A1AB7FF" w14:textId="77777777" w:rsidR="008F088D" w:rsidRPr="008B53E8" w:rsidRDefault="008F088D" w:rsidP="001C3A4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B53E8">
              <w:rPr>
                <w:rFonts w:cstheme="minorHAnsi"/>
                <w:b/>
                <w:bCs/>
                <w:sz w:val="18"/>
                <w:szCs w:val="18"/>
              </w:rPr>
              <w:t>Why do you think they chose this adjective?</w:t>
            </w:r>
          </w:p>
        </w:tc>
        <w:tc>
          <w:tcPr>
            <w:tcW w:w="5807" w:type="dxa"/>
          </w:tcPr>
          <w:p w14:paraId="0E118124" w14:textId="77777777" w:rsidR="008F088D" w:rsidRPr="008B53E8" w:rsidRDefault="008F088D" w:rsidP="001C3A4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B53E8">
              <w:rPr>
                <w:rFonts w:cstheme="minorHAnsi"/>
                <w:i/>
                <w:iCs/>
                <w:sz w:val="18"/>
                <w:szCs w:val="18"/>
              </w:rPr>
              <w:t>used to encourage the participant to focus on the meaning of the incongruent word</w:t>
            </w:r>
          </w:p>
        </w:tc>
      </w:tr>
    </w:tbl>
    <w:p w14:paraId="19C222F3" w14:textId="27FCE608" w:rsidR="008C49C5" w:rsidRPr="008B53E8" w:rsidRDefault="00B16DE3" w:rsidP="00B9750A">
      <w:pPr>
        <w:rPr>
          <w:rFonts w:cstheme="minorHAnsi"/>
        </w:rPr>
      </w:pPr>
      <w:r w:rsidRPr="008B53E8">
        <w:rPr>
          <w:rFonts w:cstheme="minorHAnsi"/>
        </w:rPr>
        <w:t>During the interviews, the participants were audio and video recorded, although the video recording only focused on the article they were reading</w:t>
      </w:r>
      <w:r w:rsidR="00CF5BF7" w:rsidRPr="008B53E8">
        <w:rPr>
          <w:rFonts w:cstheme="minorHAnsi"/>
        </w:rPr>
        <w:t>,</w:t>
      </w:r>
      <w:r w:rsidRPr="008B53E8">
        <w:rPr>
          <w:rFonts w:cstheme="minorHAnsi"/>
        </w:rPr>
        <w:t xml:space="preserve"> so that analysis could be conducted on where they pointed as they read. After the </w:t>
      </w:r>
      <w:r w:rsidR="00CF5BF7" w:rsidRPr="008B53E8">
        <w:rPr>
          <w:rFonts w:cstheme="minorHAnsi"/>
        </w:rPr>
        <w:t xml:space="preserve">interviews were complete, they were transcribed either manually or using an online transcribing tool called </w:t>
      </w:r>
      <w:r w:rsidR="00231087" w:rsidRPr="008B53E8">
        <w:rPr>
          <w:rFonts w:cstheme="minorHAnsi"/>
        </w:rPr>
        <w:t>Xunfei (</w:t>
      </w:r>
      <w:hyperlink r:id="rId10" w:history="1">
        <w:r w:rsidR="00231087" w:rsidRPr="008B53E8">
          <w:rPr>
            <w:rStyle w:val="Hyperlink"/>
            <w:rFonts w:cstheme="minorHAnsi"/>
          </w:rPr>
          <w:t>https://www.iflyrec.com</w:t>
        </w:r>
      </w:hyperlink>
      <w:r w:rsidR="00231087" w:rsidRPr="008B53E8">
        <w:rPr>
          <w:rFonts w:cstheme="minorHAnsi"/>
        </w:rPr>
        <w:t xml:space="preserve">). As the participants were allowed to speak in whichever </w:t>
      </w:r>
      <w:r w:rsidR="006733BF" w:rsidRPr="008B53E8">
        <w:rPr>
          <w:rFonts w:cstheme="minorHAnsi"/>
        </w:rPr>
        <w:t xml:space="preserve">language was most convenient for them at any give moment, and at times engaged in a high degree of code switching, </w:t>
      </w:r>
      <w:r w:rsidR="006E6B5E" w:rsidRPr="008B53E8">
        <w:rPr>
          <w:rFonts w:cstheme="minorHAnsi"/>
        </w:rPr>
        <w:t xml:space="preserve">some of the transcripts contain both English and </w:t>
      </w:r>
      <w:r w:rsidR="00560555" w:rsidRPr="008B53E8">
        <w:rPr>
          <w:rFonts w:cstheme="minorHAnsi"/>
        </w:rPr>
        <w:t xml:space="preserve">Mandarin </w:t>
      </w:r>
      <w:r w:rsidR="006E6B5E" w:rsidRPr="008B53E8">
        <w:rPr>
          <w:rFonts w:cstheme="minorHAnsi"/>
        </w:rPr>
        <w:t xml:space="preserve">Chinese. As it was felt that translating </w:t>
      </w:r>
      <w:r w:rsidR="005707C2" w:rsidRPr="008B53E8">
        <w:rPr>
          <w:rFonts w:cstheme="minorHAnsi"/>
        </w:rPr>
        <w:t xml:space="preserve">transcripts of speech containing a high degree of code switching runs the risk of </w:t>
      </w:r>
      <w:r w:rsidR="00CB5E82" w:rsidRPr="008B53E8">
        <w:rPr>
          <w:rFonts w:cstheme="minorHAnsi"/>
        </w:rPr>
        <w:t xml:space="preserve">reducing the accuracy of the data, no attempt to do so was made. </w:t>
      </w:r>
    </w:p>
    <w:sectPr w:rsidR="008C49C5" w:rsidRPr="008B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E46"/>
    <w:multiLevelType w:val="hybridMultilevel"/>
    <w:tmpl w:val="26A010B2"/>
    <w:lvl w:ilvl="0" w:tplc="7946D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F46"/>
    <w:multiLevelType w:val="hybridMultilevel"/>
    <w:tmpl w:val="BE508590"/>
    <w:lvl w:ilvl="0" w:tplc="22EAB4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33069">
    <w:abstractNumId w:val="0"/>
  </w:num>
  <w:num w:numId="2" w16cid:durableId="45753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FD"/>
    <w:rsid w:val="0001452F"/>
    <w:rsid w:val="000534E9"/>
    <w:rsid w:val="00087587"/>
    <w:rsid w:val="000A7C00"/>
    <w:rsid w:val="0011722B"/>
    <w:rsid w:val="001333AD"/>
    <w:rsid w:val="0015556A"/>
    <w:rsid w:val="00156C89"/>
    <w:rsid w:val="00156DFA"/>
    <w:rsid w:val="001B206E"/>
    <w:rsid w:val="001B5520"/>
    <w:rsid w:val="001E4649"/>
    <w:rsid w:val="001E5273"/>
    <w:rsid w:val="00231087"/>
    <w:rsid w:val="002568D2"/>
    <w:rsid w:val="002714F3"/>
    <w:rsid w:val="00296DF1"/>
    <w:rsid w:val="002A0F38"/>
    <w:rsid w:val="002C1C0D"/>
    <w:rsid w:val="002C2D3A"/>
    <w:rsid w:val="002F4D9B"/>
    <w:rsid w:val="00323FC9"/>
    <w:rsid w:val="00340BC7"/>
    <w:rsid w:val="00343667"/>
    <w:rsid w:val="00356686"/>
    <w:rsid w:val="00372157"/>
    <w:rsid w:val="00382457"/>
    <w:rsid w:val="0038750F"/>
    <w:rsid w:val="003D0AE9"/>
    <w:rsid w:val="003D61A2"/>
    <w:rsid w:val="003E5B1E"/>
    <w:rsid w:val="003F7163"/>
    <w:rsid w:val="0041481C"/>
    <w:rsid w:val="00416076"/>
    <w:rsid w:val="00457A41"/>
    <w:rsid w:val="004723CD"/>
    <w:rsid w:val="0048529B"/>
    <w:rsid w:val="004A0A99"/>
    <w:rsid w:val="004C7D1B"/>
    <w:rsid w:val="004F259D"/>
    <w:rsid w:val="00513689"/>
    <w:rsid w:val="005256C4"/>
    <w:rsid w:val="00537D54"/>
    <w:rsid w:val="005407E9"/>
    <w:rsid w:val="0054351D"/>
    <w:rsid w:val="00560555"/>
    <w:rsid w:val="0056667F"/>
    <w:rsid w:val="005707C2"/>
    <w:rsid w:val="00572766"/>
    <w:rsid w:val="00575B66"/>
    <w:rsid w:val="00587632"/>
    <w:rsid w:val="005976A2"/>
    <w:rsid w:val="005C246C"/>
    <w:rsid w:val="005C7D4C"/>
    <w:rsid w:val="00637F75"/>
    <w:rsid w:val="006733BF"/>
    <w:rsid w:val="00681E09"/>
    <w:rsid w:val="006D0335"/>
    <w:rsid w:val="006E6B5E"/>
    <w:rsid w:val="006F2050"/>
    <w:rsid w:val="006F360F"/>
    <w:rsid w:val="006F5C50"/>
    <w:rsid w:val="006F5FC7"/>
    <w:rsid w:val="007023F0"/>
    <w:rsid w:val="00733C22"/>
    <w:rsid w:val="00797654"/>
    <w:rsid w:val="007A0C8F"/>
    <w:rsid w:val="007C5F4D"/>
    <w:rsid w:val="007D5E37"/>
    <w:rsid w:val="007F03AB"/>
    <w:rsid w:val="007F0BC8"/>
    <w:rsid w:val="008238FD"/>
    <w:rsid w:val="008742A1"/>
    <w:rsid w:val="008B53E8"/>
    <w:rsid w:val="008C49C5"/>
    <w:rsid w:val="008F088D"/>
    <w:rsid w:val="009409CE"/>
    <w:rsid w:val="00981093"/>
    <w:rsid w:val="00991451"/>
    <w:rsid w:val="009B3482"/>
    <w:rsid w:val="009F261B"/>
    <w:rsid w:val="009F4356"/>
    <w:rsid w:val="00A059C0"/>
    <w:rsid w:val="00A47E82"/>
    <w:rsid w:val="00AF09DB"/>
    <w:rsid w:val="00AF2200"/>
    <w:rsid w:val="00AF3771"/>
    <w:rsid w:val="00B13734"/>
    <w:rsid w:val="00B1468E"/>
    <w:rsid w:val="00B16DE3"/>
    <w:rsid w:val="00B25EE0"/>
    <w:rsid w:val="00B9750A"/>
    <w:rsid w:val="00BD3789"/>
    <w:rsid w:val="00BD3F2C"/>
    <w:rsid w:val="00BD4425"/>
    <w:rsid w:val="00BE57F3"/>
    <w:rsid w:val="00C3421A"/>
    <w:rsid w:val="00C443E4"/>
    <w:rsid w:val="00C67957"/>
    <w:rsid w:val="00CB2B51"/>
    <w:rsid w:val="00CB5E82"/>
    <w:rsid w:val="00CD3C54"/>
    <w:rsid w:val="00CF5BF7"/>
    <w:rsid w:val="00D2220B"/>
    <w:rsid w:val="00D36F01"/>
    <w:rsid w:val="00D469D2"/>
    <w:rsid w:val="00D75A29"/>
    <w:rsid w:val="00D77CD9"/>
    <w:rsid w:val="00D9548F"/>
    <w:rsid w:val="00DB4E1C"/>
    <w:rsid w:val="00DE0147"/>
    <w:rsid w:val="00DF4990"/>
    <w:rsid w:val="00E17C43"/>
    <w:rsid w:val="00E24F24"/>
    <w:rsid w:val="00E60DE3"/>
    <w:rsid w:val="00E81320"/>
    <w:rsid w:val="00E95817"/>
    <w:rsid w:val="00E968B8"/>
    <w:rsid w:val="00EE17AB"/>
    <w:rsid w:val="00F36369"/>
    <w:rsid w:val="00F73BA6"/>
    <w:rsid w:val="00F777A5"/>
    <w:rsid w:val="00F81C9B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3F12"/>
  <w15:chartTrackingRefBased/>
  <w15:docId w15:val="{063E0262-90C0-4B8A-9365-8B3E96A8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FD"/>
    <w:pPr>
      <w:ind w:left="720"/>
      <w:contextualSpacing/>
    </w:pPr>
  </w:style>
  <w:style w:type="table" w:styleId="TableGrid">
    <w:name w:val="Table Grid"/>
    <w:basedOn w:val="TableNormal"/>
    <w:uiPriority w:val="39"/>
    <w:rsid w:val="002C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6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864/1947.0003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flyre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4" ma:contentTypeDescription="Create a new document." ma:contentTypeScope="" ma:versionID="1a919b11ed4a9827ab9796d02bd0a8b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c950d43cf7cf0b8a828b59f59b84fda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F64CE-C5EE-4657-A5D7-91D1344B7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F5A6F-4CF8-4FCF-8F8B-6B3741D70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68F5F-1EA6-4769-9CA4-BC490A42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 Wagstaffe</cp:lastModifiedBy>
  <cp:revision>7</cp:revision>
  <dcterms:created xsi:type="dcterms:W3CDTF">2022-06-11T09:50:00Z</dcterms:created>
  <dcterms:modified xsi:type="dcterms:W3CDTF">2022-06-11T10:02:00Z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