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BCEE"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339ADAF1"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1. ABOUT THE DATASET</w:t>
      </w:r>
    </w:p>
    <w:p w14:paraId="56CE195B"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w:t>
      </w:r>
    </w:p>
    <w:p w14:paraId="3BAF8EAD"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1FE94014" w14:textId="0B025B78" w:rsidR="008D0EFE" w:rsidRPr="008D0EFE" w:rsidRDefault="00554DB1" w:rsidP="008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Title:</w:t>
      </w:r>
      <w:r w:rsidRPr="00554DB1">
        <w:rPr>
          <w:rFonts w:ascii="Courier New" w:eastAsia="Times New Roman" w:hAnsi="Courier New" w:cs="Courier New"/>
          <w:noProof w:val="0"/>
          <w:color w:val="000000"/>
          <w:kern w:val="0"/>
          <w:sz w:val="20"/>
          <w:szCs w:val="20"/>
          <w:lang w:eastAsia="en-GB"/>
          <w14:ligatures w14:val="none"/>
        </w:rPr>
        <w:tab/>
      </w:r>
      <w:r w:rsidR="008D0EFE" w:rsidRPr="008D0EFE">
        <w:rPr>
          <w:rFonts w:ascii="Courier New" w:eastAsia="Times New Roman" w:hAnsi="Courier New" w:cs="Courier New"/>
          <w:noProof w:val="0"/>
          <w:color w:val="000000"/>
          <w:kern w:val="0"/>
          <w:sz w:val="20"/>
          <w:szCs w:val="20"/>
          <w:lang w:eastAsia="en-GB"/>
          <w14:ligatures w14:val="none"/>
        </w:rPr>
        <w:t>Soil invertebrate and mycorrhizal activity in diverse grasslands: benefits for ecosystem service provision</w:t>
      </w:r>
      <w:r w:rsidR="00D47A5C">
        <w:rPr>
          <w:rFonts w:ascii="Courier New" w:eastAsia="Times New Roman" w:hAnsi="Courier New" w:cs="Courier New"/>
          <w:noProof w:val="0"/>
          <w:color w:val="000000"/>
          <w:kern w:val="0"/>
          <w:sz w:val="20"/>
          <w:szCs w:val="20"/>
          <w:lang w:eastAsia="en-GB"/>
          <w14:ligatures w14:val="none"/>
        </w:rPr>
        <w:t xml:space="preserve"> – PhD thesis dataset</w:t>
      </w:r>
    </w:p>
    <w:p w14:paraId="59015BC9" w14:textId="524C11D6"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242B1F2A"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66BA5661" w14:textId="0687700B" w:rsidR="008D0EFE" w:rsidRDefault="00554DB1" w:rsidP="008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Creator</w:t>
      </w:r>
      <w:r w:rsidR="008D0EFE">
        <w:rPr>
          <w:rFonts w:ascii="Courier New" w:eastAsia="Times New Roman" w:hAnsi="Courier New" w:cs="Courier New"/>
          <w:noProof w:val="0"/>
          <w:color w:val="000000"/>
          <w:kern w:val="0"/>
          <w:sz w:val="20"/>
          <w:szCs w:val="20"/>
          <w:lang w:eastAsia="en-GB"/>
          <w14:ligatures w14:val="none"/>
        </w:rPr>
        <w:t>:</w:t>
      </w:r>
      <w:r w:rsidRPr="00554DB1">
        <w:rPr>
          <w:rFonts w:ascii="Courier New" w:eastAsia="Times New Roman" w:hAnsi="Courier New" w:cs="Courier New"/>
          <w:noProof w:val="0"/>
          <w:color w:val="000000"/>
          <w:kern w:val="0"/>
          <w:sz w:val="20"/>
          <w:szCs w:val="20"/>
          <w:lang w:eastAsia="en-GB"/>
          <w14:ligatures w14:val="none"/>
        </w:rPr>
        <w:t xml:space="preserve"> </w:t>
      </w:r>
      <w:r w:rsidR="008D0EFE">
        <w:rPr>
          <w:rFonts w:ascii="Courier New" w:eastAsia="Times New Roman" w:hAnsi="Courier New" w:cs="Courier New"/>
          <w:noProof w:val="0"/>
          <w:color w:val="000000"/>
          <w:kern w:val="0"/>
          <w:sz w:val="20"/>
          <w:szCs w:val="20"/>
          <w:lang w:eastAsia="en-GB"/>
          <w14:ligatures w14:val="none"/>
        </w:rPr>
        <w:t>Sarah Shepperd</w:t>
      </w:r>
    </w:p>
    <w:p w14:paraId="2119C89B"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7531B1F4" w14:textId="3769D54F"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 xml:space="preserve">Organisation(s): University of Reading. </w:t>
      </w:r>
    </w:p>
    <w:p w14:paraId="0E84E111"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1ABB13BB" w14:textId="173C15EC"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Rights-holder(s):</w:t>
      </w:r>
      <w:r w:rsidR="008D0EFE">
        <w:rPr>
          <w:rFonts w:ascii="Courier New" w:eastAsia="Times New Roman" w:hAnsi="Courier New" w:cs="Courier New"/>
          <w:noProof w:val="0"/>
          <w:color w:val="000000"/>
          <w:kern w:val="0"/>
          <w:sz w:val="20"/>
          <w:szCs w:val="20"/>
          <w:lang w:eastAsia="en-GB"/>
          <w14:ligatures w14:val="none"/>
        </w:rPr>
        <w:t xml:space="preserve"> </w:t>
      </w:r>
      <w:r w:rsidR="00215AEF" w:rsidRPr="00554DB1">
        <w:rPr>
          <w:rFonts w:ascii="Courier New" w:eastAsia="Times New Roman" w:hAnsi="Courier New" w:cs="Courier New"/>
          <w:noProof w:val="0"/>
          <w:color w:val="000000"/>
          <w:kern w:val="0"/>
          <w:sz w:val="20"/>
          <w:szCs w:val="20"/>
          <w:lang w:eastAsia="en-GB"/>
          <w14:ligatures w14:val="none"/>
        </w:rPr>
        <w:t>University of Reading.</w:t>
      </w:r>
    </w:p>
    <w:p w14:paraId="15F0BC83"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4F7C9D52" w14:textId="6B644C6A"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Publication Year:</w:t>
      </w:r>
      <w:r w:rsidR="008D0EFE">
        <w:rPr>
          <w:rFonts w:ascii="Courier New" w:eastAsia="Times New Roman" w:hAnsi="Courier New" w:cs="Courier New"/>
          <w:noProof w:val="0"/>
          <w:color w:val="000000"/>
          <w:kern w:val="0"/>
          <w:sz w:val="20"/>
          <w:szCs w:val="20"/>
          <w:lang w:eastAsia="en-GB"/>
          <w14:ligatures w14:val="none"/>
        </w:rPr>
        <w:t xml:space="preserve"> 2023</w:t>
      </w:r>
    </w:p>
    <w:p w14:paraId="7AAC2150"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5A2F9828" w14:textId="51868978" w:rsidR="0071229A" w:rsidRDefault="00554DB1" w:rsidP="0065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 xml:space="preserve">Description: </w:t>
      </w:r>
      <w:r w:rsidR="0071229A">
        <w:rPr>
          <w:rFonts w:ascii="Courier New" w:eastAsia="Times New Roman" w:hAnsi="Courier New" w:cs="Courier New"/>
          <w:noProof w:val="0"/>
          <w:color w:val="000000"/>
          <w:kern w:val="0"/>
          <w:sz w:val="20"/>
          <w:szCs w:val="20"/>
          <w:lang w:eastAsia="en-GB"/>
          <w14:ligatures w14:val="none"/>
        </w:rPr>
        <w:t xml:space="preserve">Data </w:t>
      </w:r>
      <w:r w:rsidR="0071229A" w:rsidRPr="0071229A">
        <w:rPr>
          <w:rFonts w:ascii="Courier New" w:eastAsia="Times New Roman" w:hAnsi="Courier New" w:cs="Courier New"/>
          <w:noProof w:val="0"/>
          <w:color w:val="000000"/>
          <w:kern w:val="0"/>
          <w:sz w:val="20"/>
          <w:szCs w:val="20"/>
          <w:lang w:eastAsia="en-GB"/>
          <w14:ligatures w14:val="none"/>
        </w:rPr>
        <w:t xml:space="preserve">collected for PhD thesis. </w:t>
      </w:r>
      <w:r w:rsidR="00437CB6" w:rsidRPr="00437CB6">
        <w:rPr>
          <w:rFonts w:ascii="Courier New" w:eastAsia="Times New Roman" w:hAnsi="Courier New" w:cs="Courier New"/>
          <w:noProof w:val="0"/>
          <w:color w:val="000000"/>
          <w:kern w:val="0"/>
          <w:sz w:val="20"/>
          <w:szCs w:val="20"/>
          <w:lang w:eastAsia="en-GB"/>
          <w14:ligatures w14:val="none"/>
        </w:rPr>
        <w:t>Th</w:t>
      </w:r>
      <w:r w:rsidR="0071229A" w:rsidRPr="0071229A">
        <w:rPr>
          <w:rFonts w:ascii="Courier New" w:eastAsia="Times New Roman" w:hAnsi="Courier New" w:cs="Courier New"/>
          <w:noProof w:val="0"/>
          <w:color w:val="000000"/>
          <w:kern w:val="0"/>
          <w:sz w:val="20"/>
          <w:szCs w:val="20"/>
          <w:lang w:eastAsia="en-GB"/>
          <w14:ligatures w14:val="none"/>
        </w:rPr>
        <w:t>e</w:t>
      </w:r>
      <w:r w:rsidR="00437CB6" w:rsidRPr="00437CB6">
        <w:rPr>
          <w:rFonts w:ascii="Courier New" w:eastAsia="Times New Roman" w:hAnsi="Courier New" w:cs="Courier New"/>
          <w:noProof w:val="0"/>
          <w:color w:val="000000"/>
          <w:kern w:val="0"/>
          <w:sz w:val="20"/>
          <w:szCs w:val="20"/>
          <w:lang w:eastAsia="en-GB"/>
          <w14:ligatures w14:val="none"/>
        </w:rPr>
        <w:t xml:space="preserve"> thesis aim was to identify which of the commercially viable grasslands within the Diverse Forages Project had the most positive effect on the soil biota (earthworms, mesofauna and AMF) and whether changes in belowground biota affected aboveground biomass productivity</w:t>
      </w:r>
      <w:r w:rsidR="0071229A" w:rsidRPr="0071229A">
        <w:rPr>
          <w:rFonts w:ascii="Courier New" w:eastAsia="Times New Roman" w:hAnsi="Courier New" w:cs="Courier New"/>
          <w:noProof w:val="0"/>
          <w:color w:val="000000"/>
          <w:kern w:val="0"/>
          <w:sz w:val="20"/>
          <w:szCs w:val="20"/>
          <w:lang w:eastAsia="en-GB"/>
          <w14:ligatures w14:val="none"/>
        </w:rPr>
        <w:t>.</w:t>
      </w:r>
      <w:r w:rsidR="0071229A">
        <w:rPr>
          <w:rFonts w:ascii="Courier New" w:eastAsia="Times New Roman" w:hAnsi="Courier New" w:cs="Courier New"/>
          <w:noProof w:val="0"/>
          <w:color w:val="000000"/>
          <w:kern w:val="0"/>
          <w:sz w:val="20"/>
          <w:szCs w:val="20"/>
          <w:lang w:eastAsia="en-GB"/>
          <w14:ligatures w14:val="none"/>
        </w:rPr>
        <w:t xml:space="preserve"> </w:t>
      </w:r>
      <w:r w:rsidR="00437CB6" w:rsidRPr="00437CB6">
        <w:rPr>
          <w:rFonts w:ascii="Courier New" w:eastAsia="Times New Roman" w:hAnsi="Courier New" w:cs="Courier New"/>
          <w:noProof w:val="0"/>
          <w:color w:val="000000"/>
          <w:kern w:val="0"/>
          <w:sz w:val="20"/>
          <w:szCs w:val="20"/>
          <w:lang w:eastAsia="en-GB"/>
          <w14:ligatures w14:val="none"/>
        </w:rPr>
        <w:t xml:space="preserve">The thesis consists of three manuscript research chapters which address the soil biodiversity research gaps </w:t>
      </w:r>
      <w:r w:rsidR="0071229A">
        <w:rPr>
          <w:rFonts w:ascii="Courier New" w:eastAsia="Times New Roman" w:hAnsi="Courier New" w:cs="Courier New"/>
          <w:noProof w:val="0"/>
          <w:color w:val="000000"/>
          <w:kern w:val="0"/>
          <w:sz w:val="20"/>
          <w:szCs w:val="20"/>
          <w:lang w:eastAsia="en-GB"/>
          <w14:ligatures w14:val="none"/>
        </w:rPr>
        <w:t xml:space="preserve">identified </w:t>
      </w:r>
      <w:r w:rsidR="00437CB6" w:rsidRPr="00437CB6">
        <w:rPr>
          <w:rFonts w:ascii="Courier New" w:eastAsia="Times New Roman" w:hAnsi="Courier New" w:cs="Courier New"/>
          <w:noProof w:val="0"/>
          <w:color w:val="000000"/>
          <w:kern w:val="0"/>
          <w:sz w:val="20"/>
          <w:szCs w:val="20"/>
          <w:lang w:eastAsia="en-GB"/>
          <w14:ligatures w14:val="none"/>
        </w:rPr>
        <w:t xml:space="preserve">by comparing a conventionally fertilised forage pasture to three commercially available diverse grasslands. </w:t>
      </w:r>
    </w:p>
    <w:p w14:paraId="16B3E888" w14:textId="3011BD72" w:rsidR="0071229A"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437CB6">
        <w:rPr>
          <w:rFonts w:ascii="Courier New" w:eastAsia="Times New Roman" w:hAnsi="Courier New" w:cs="Courier New"/>
          <w:noProof w:val="0"/>
          <w:color w:val="000000"/>
          <w:kern w:val="0"/>
          <w:sz w:val="20"/>
          <w:szCs w:val="20"/>
          <w:lang w:eastAsia="en-GB"/>
          <w14:ligatures w14:val="none"/>
        </w:rPr>
        <w:t>Chapter 2 cover</w:t>
      </w:r>
      <w:r w:rsidR="0071229A">
        <w:rPr>
          <w:rFonts w:ascii="Courier New" w:eastAsia="Times New Roman" w:hAnsi="Courier New" w:cs="Courier New"/>
          <w:noProof w:val="0"/>
          <w:color w:val="000000"/>
          <w:kern w:val="0"/>
          <w:sz w:val="20"/>
          <w:szCs w:val="20"/>
          <w:lang w:eastAsia="en-GB"/>
          <w14:ligatures w14:val="none"/>
        </w:rPr>
        <w:t>ed</w:t>
      </w:r>
      <w:r w:rsidRPr="00437CB6">
        <w:rPr>
          <w:rFonts w:ascii="Courier New" w:eastAsia="Times New Roman" w:hAnsi="Courier New" w:cs="Courier New"/>
          <w:noProof w:val="0"/>
          <w:color w:val="000000"/>
          <w:kern w:val="0"/>
          <w:sz w:val="20"/>
          <w:szCs w:val="20"/>
          <w:lang w:eastAsia="en-GB"/>
          <w14:ligatures w14:val="none"/>
        </w:rPr>
        <w:t xml:space="preserve"> the changes in soil invertebrates, namely earthworms, a selection of soil mesofauna under grazed systems, and measuring </w:t>
      </w:r>
      <w:r w:rsidR="0071229A">
        <w:rPr>
          <w:rFonts w:ascii="Courier New" w:eastAsia="Times New Roman" w:hAnsi="Courier New" w:cs="Courier New"/>
          <w:noProof w:val="0"/>
          <w:color w:val="000000"/>
          <w:kern w:val="0"/>
          <w:sz w:val="20"/>
          <w:szCs w:val="20"/>
          <w:lang w:eastAsia="en-GB"/>
          <w14:ligatures w14:val="none"/>
        </w:rPr>
        <w:t>arbuscular mycorrhizal</w:t>
      </w:r>
      <w:r w:rsidRPr="00437CB6">
        <w:rPr>
          <w:rFonts w:ascii="Courier New" w:eastAsia="Times New Roman" w:hAnsi="Courier New" w:cs="Courier New"/>
          <w:noProof w:val="0"/>
          <w:color w:val="000000"/>
          <w:kern w:val="0"/>
          <w:sz w:val="20"/>
          <w:szCs w:val="20"/>
          <w:lang w:eastAsia="en-GB"/>
          <w14:ligatures w14:val="none"/>
        </w:rPr>
        <w:t xml:space="preserve"> </w:t>
      </w:r>
      <w:r w:rsidR="0071229A">
        <w:rPr>
          <w:rFonts w:ascii="Courier New" w:eastAsia="Times New Roman" w:hAnsi="Courier New" w:cs="Courier New"/>
          <w:noProof w:val="0"/>
          <w:color w:val="000000"/>
          <w:kern w:val="0"/>
          <w:sz w:val="20"/>
          <w:szCs w:val="20"/>
          <w:lang w:eastAsia="en-GB"/>
          <w14:ligatures w14:val="none"/>
        </w:rPr>
        <w:t xml:space="preserve">(AMF) </w:t>
      </w:r>
      <w:r w:rsidRPr="00437CB6">
        <w:rPr>
          <w:rFonts w:ascii="Courier New" w:eastAsia="Times New Roman" w:hAnsi="Courier New" w:cs="Courier New"/>
          <w:noProof w:val="0"/>
          <w:color w:val="000000"/>
          <w:kern w:val="0"/>
          <w:sz w:val="20"/>
          <w:szCs w:val="20"/>
          <w:lang w:eastAsia="en-GB"/>
          <w14:ligatures w14:val="none"/>
        </w:rPr>
        <w:t xml:space="preserve">activity through trap plant root colonisation. </w:t>
      </w:r>
    </w:p>
    <w:p w14:paraId="201274FA" w14:textId="34B74B6C" w:rsidR="0071229A"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437CB6">
        <w:rPr>
          <w:rFonts w:ascii="Courier New" w:eastAsia="Times New Roman" w:hAnsi="Courier New" w:cs="Courier New"/>
          <w:noProof w:val="0"/>
          <w:color w:val="000000"/>
          <w:kern w:val="0"/>
          <w:sz w:val="20"/>
          <w:szCs w:val="20"/>
          <w:lang w:eastAsia="en-GB"/>
          <w14:ligatures w14:val="none"/>
        </w:rPr>
        <w:t>Chapter 3 look</w:t>
      </w:r>
      <w:r w:rsidR="0071229A">
        <w:rPr>
          <w:rFonts w:ascii="Courier New" w:eastAsia="Times New Roman" w:hAnsi="Courier New" w:cs="Courier New"/>
          <w:noProof w:val="0"/>
          <w:color w:val="000000"/>
          <w:kern w:val="0"/>
          <w:sz w:val="20"/>
          <w:szCs w:val="20"/>
          <w:lang w:eastAsia="en-GB"/>
          <w14:ligatures w14:val="none"/>
        </w:rPr>
        <w:t>ed</w:t>
      </w:r>
      <w:r w:rsidRPr="00437CB6">
        <w:rPr>
          <w:rFonts w:ascii="Courier New" w:eastAsia="Times New Roman" w:hAnsi="Courier New" w:cs="Courier New"/>
          <w:noProof w:val="0"/>
          <w:color w:val="000000"/>
          <w:kern w:val="0"/>
          <w:sz w:val="20"/>
          <w:szCs w:val="20"/>
          <w:lang w:eastAsia="en-GB"/>
          <w14:ligatures w14:val="none"/>
        </w:rPr>
        <w:t xml:space="preserve"> at overall fungal community diversity and microbial functional diversity, with modelling effects on provisioning ecosystem service delivery of aboveground biomass. </w:t>
      </w:r>
    </w:p>
    <w:p w14:paraId="6814E40D" w14:textId="3B40EEB5" w:rsidR="00437CB6" w:rsidRPr="00437CB6" w:rsidRDefault="00437CB6" w:rsidP="0071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437CB6">
        <w:rPr>
          <w:rFonts w:ascii="Courier New" w:eastAsia="Times New Roman" w:hAnsi="Courier New" w:cs="Courier New"/>
          <w:noProof w:val="0"/>
          <w:color w:val="000000"/>
          <w:kern w:val="0"/>
          <w:sz w:val="20"/>
          <w:szCs w:val="20"/>
          <w:lang w:eastAsia="en-GB"/>
          <w14:ligatures w14:val="none"/>
        </w:rPr>
        <w:t>And finally, Chapter 4 focuse</w:t>
      </w:r>
      <w:r w:rsidR="0071229A">
        <w:rPr>
          <w:rFonts w:ascii="Courier New" w:eastAsia="Times New Roman" w:hAnsi="Courier New" w:cs="Courier New"/>
          <w:noProof w:val="0"/>
          <w:color w:val="000000"/>
          <w:kern w:val="0"/>
          <w:sz w:val="20"/>
          <w:szCs w:val="20"/>
          <w:lang w:eastAsia="en-GB"/>
          <w14:ligatures w14:val="none"/>
        </w:rPr>
        <w:t>d</w:t>
      </w:r>
      <w:r w:rsidRPr="00437CB6">
        <w:rPr>
          <w:rFonts w:ascii="Courier New" w:eastAsia="Times New Roman" w:hAnsi="Courier New" w:cs="Courier New"/>
          <w:noProof w:val="0"/>
          <w:color w:val="000000"/>
          <w:kern w:val="0"/>
          <w:sz w:val="20"/>
          <w:szCs w:val="20"/>
          <w:lang w:eastAsia="en-GB"/>
          <w14:ligatures w14:val="none"/>
        </w:rPr>
        <w:t xml:space="preserve"> solely on AMF community’s contribution to the commercially available diverse grasslands in dry, stressed environments, suggestive of future climate change conditions. The experimental set up, methodologies and data used for all three research chapters are understandably interlinked, with sampling campaign breakdown identified in </w:t>
      </w:r>
      <w:r w:rsidR="0071229A">
        <w:rPr>
          <w:rFonts w:ascii="Courier New" w:eastAsia="Times New Roman" w:hAnsi="Courier New" w:cs="Courier New"/>
          <w:noProof w:val="0"/>
          <w:color w:val="000000"/>
          <w:kern w:val="0"/>
          <w:sz w:val="20"/>
          <w:szCs w:val="20"/>
          <w:lang w:eastAsia="en-GB"/>
          <w14:ligatures w14:val="none"/>
        </w:rPr>
        <w:t>Table 1</w:t>
      </w:r>
    </w:p>
    <w:p w14:paraId="047DAB0E"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463A73EB"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4B7DE519"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37CACB0C" w14:textId="191B287D"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noProof w:val="0"/>
          <w:color w:val="000000"/>
          <w:kern w:val="0"/>
          <w:sz w:val="20"/>
          <w:szCs w:val="20"/>
          <w:lang w:eastAsia="en-GB"/>
          <w14:ligatures w14:val="none"/>
        </w:rPr>
      </w:pPr>
      <w:bookmarkStart w:id="0" w:name="_Ref123826431"/>
      <w:bookmarkStart w:id="1" w:name="_Toc151117528"/>
      <w:r w:rsidRPr="00437CB6">
        <w:rPr>
          <w:rFonts w:ascii="Courier New" w:eastAsia="Times New Roman" w:hAnsi="Courier New" w:cs="Courier New"/>
          <w:i/>
          <w:iCs/>
          <w:noProof w:val="0"/>
          <w:color w:val="000000"/>
          <w:kern w:val="0"/>
          <w:sz w:val="20"/>
          <w:szCs w:val="20"/>
          <w:lang w:eastAsia="en-GB"/>
          <w14:ligatures w14:val="none"/>
        </w:rPr>
        <w:t xml:space="preserve">Table </w:t>
      </w:r>
      <w:r w:rsidRPr="00437CB6">
        <w:rPr>
          <w:rFonts w:ascii="Courier New" w:eastAsia="Times New Roman" w:hAnsi="Courier New" w:cs="Courier New"/>
          <w:i/>
          <w:iCs/>
          <w:noProof w:val="0"/>
          <w:color w:val="000000"/>
          <w:kern w:val="0"/>
          <w:sz w:val="20"/>
          <w:szCs w:val="20"/>
          <w:lang w:eastAsia="en-GB"/>
          <w14:ligatures w14:val="none"/>
        </w:rPr>
        <w:fldChar w:fldCharType="begin"/>
      </w:r>
      <w:r w:rsidRPr="00437CB6">
        <w:rPr>
          <w:rFonts w:ascii="Courier New" w:eastAsia="Times New Roman" w:hAnsi="Courier New" w:cs="Courier New"/>
          <w:i/>
          <w:iCs/>
          <w:noProof w:val="0"/>
          <w:color w:val="000000"/>
          <w:kern w:val="0"/>
          <w:sz w:val="20"/>
          <w:szCs w:val="20"/>
          <w:lang w:eastAsia="en-GB"/>
          <w14:ligatures w14:val="none"/>
        </w:rPr>
        <w:instrText xml:space="preserve"> STYLEREF 1 \s </w:instrText>
      </w:r>
      <w:r w:rsidRPr="00437CB6">
        <w:rPr>
          <w:rFonts w:ascii="Courier New" w:eastAsia="Times New Roman" w:hAnsi="Courier New" w:cs="Courier New"/>
          <w:i/>
          <w:iCs/>
          <w:noProof w:val="0"/>
          <w:color w:val="000000"/>
          <w:kern w:val="0"/>
          <w:sz w:val="20"/>
          <w:szCs w:val="20"/>
          <w:lang w:eastAsia="en-GB"/>
          <w14:ligatures w14:val="none"/>
        </w:rPr>
        <w:fldChar w:fldCharType="separate"/>
      </w:r>
      <w:r w:rsidRPr="00437CB6">
        <w:rPr>
          <w:rFonts w:ascii="Courier New" w:eastAsia="Times New Roman" w:hAnsi="Courier New" w:cs="Courier New"/>
          <w:i/>
          <w:iCs/>
          <w:noProof w:val="0"/>
          <w:color w:val="000000"/>
          <w:kern w:val="0"/>
          <w:sz w:val="20"/>
          <w:szCs w:val="20"/>
          <w:cs/>
          <w:lang w:eastAsia="en-GB"/>
          <w14:ligatures w14:val="none"/>
        </w:rPr>
        <w:t>‎</w:t>
      </w:r>
      <w:r w:rsidRPr="00437CB6">
        <w:rPr>
          <w:rFonts w:ascii="Courier New" w:eastAsia="Times New Roman" w:hAnsi="Courier New" w:cs="Courier New"/>
          <w:i/>
          <w:iCs/>
          <w:noProof w:val="0"/>
          <w:color w:val="000000"/>
          <w:kern w:val="0"/>
          <w:sz w:val="20"/>
          <w:szCs w:val="20"/>
          <w:lang w:eastAsia="en-GB"/>
          <w14:ligatures w14:val="none"/>
        </w:rPr>
        <w:t>1</w:t>
      </w:r>
      <w:r w:rsidRPr="00437CB6">
        <w:rPr>
          <w:rFonts w:ascii="Courier New" w:eastAsia="Times New Roman" w:hAnsi="Courier New" w:cs="Courier New"/>
          <w:noProof w:val="0"/>
          <w:color w:val="000000"/>
          <w:kern w:val="0"/>
          <w:sz w:val="20"/>
          <w:szCs w:val="20"/>
          <w:lang w:eastAsia="en-GB"/>
          <w14:ligatures w14:val="none"/>
        </w:rPr>
        <w:fldChar w:fldCharType="end"/>
      </w:r>
      <w:bookmarkEnd w:id="0"/>
      <w:r w:rsidRPr="00437CB6">
        <w:rPr>
          <w:rFonts w:ascii="Courier New" w:eastAsia="Times New Roman" w:hAnsi="Courier New" w:cs="Courier New"/>
          <w:i/>
          <w:iCs/>
          <w:noProof w:val="0"/>
          <w:color w:val="000000"/>
          <w:kern w:val="0"/>
          <w:sz w:val="20"/>
          <w:szCs w:val="20"/>
          <w:lang w:eastAsia="en-GB"/>
          <w14:ligatures w14:val="none"/>
        </w:rPr>
        <w:t xml:space="preserve"> Sampling campaigns for experimental Chapters 2, 3 and 4. Site column identifies the three sites used in this thesis research (Crops Research Unit (CRU): Dry site or Well-wetted site (WW), or the Centre for Dairy Research (CEDAR)). Project column identifies sample collector (</w:t>
      </w:r>
      <w:proofErr w:type="spellStart"/>
      <w:r w:rsidRPr="00437CB6">
        <w:rPr>
          <w:rFonts w:ascii="Courier New" w:eastAsia="Times New Roman" w:hAnsi="Courier New" w:cs="Courier New"/>
          <w:i/>
          <w:iCs/>
          <w:noProof w:val="0"/>
          <w:color w:val="000000"/>
          <w:kern w:val="0"/>
          <w:sz w:val="20"/>
          <w:szCs w:val="20"/>
          <w:lang w:eastAsia="en-GB"/>
          <w14:ligatures w14:val="none"/>
        </w:rPr>
        <w:t>DivForages</w:t>
      </w:r>
      <w:proofErr w:type="spellEnd"/>
      <w:r w:rsidRPr="00437CB6">
        <w:rPr>
          <w:rFonts w:ascii="Courier New" w:eastAsia="Times New Roman" w:hAnsi="Courier New" w:cs="Courier New"/>
          <w:i/>
          <w:iCs/>
          <w:noProof w:val="0"/>
          <w:color w:val="000000"/>
          <w:kern w:val="0"/>
          <w:sz w:val="20"/>
          <w:szCs w:val="20"/>
          <w:lang w:eastAsia="en-GB"/>
          <w14:ligatures w14:val="none"/>
        </w:rPr>
        <w:t>: Diverse forages project team, or Sarah Shepperd (SS)).</w:t>
      </w:r>
      <w:bookmarkEnd w:id="1"/>
    </w:p>
    <w:tbl>
      <w:tblPr>
        <w:tblStyle w:val="TableGrid"/>
        <w:tblW w:w="9946" w:type="dxa"/>
        <w:tblLook w:val="04A0" w:firstRow="1" w:lastRow="0" w:firstColumn="1" w:lastColumn="0" w:noHBand="0" w:noVBand="1"/>
      </w:tblPr>
      <w:tblGrid>
        <w:gridCol w:w="1524"/>
        <w:gridCol w:w="1173"/>
        <w:gridCol w:w="1417"/>
        <w:gridCol w:w="1547"/>
        <w:gridCol w:w="3228"/>
        <w:gridCol w:w="1057"/>
      </w:tblGrid>
      <w:tr w:rsidR="00437CB6" w:rsidRPr="00437CB6" w14:paraId="29D0937C" w14:textId="77777777" w:rsidTr="001874B2">
        <w:tc>
          <w:tcPr>
            <w:tcW w:w="1555" w:type="dxa"/>
          </w:tcPr>
          <w:p w14:paraId="79DC5277"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noProof w:val="0"/>
                <w:color w:val="000000"/>
                <w:sz w:val="20"/>
                <w:szCs w:val="20"/>
                <w:lang w:eastAsia="en-GB"/>
              </w:rPr>
            </w:pPr>
            <w:r w:rsidRPr="00437CB6">
              <w:rPr>
                <w:rFonts w:ascii="Courier New" w:eastAsia="Times New Roman" w:hAnsi="Courier New" w:cs="Courier New"/>
                <w:b/>
                <w:bCs/>
                <w:noProof w:val="0"/>
                <w:color w:val="000000"/>
                <w:sz w:val="20"/>
                <w:szCs w:val="20"/>
                <w:lang w:eastAsia="en-GB"/>
              </w:rPr>
              <w:t>Sample date</w:t>
            </w:r>
          </w:p>
        </w:tc>
        <w:tc>
          <w:tcPr>
            <w:tcW w:w="1221" w:type="dxa"/>
          </w:tcPr>
          <w:p w14:paraId="14548789"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noProof w:val="0"/>
                <w:color w:val="000000"/>
                <w:sz w:val="20"/>
                <w:szCs w:val="20"/>
                <w:lang w:eastAsia="en-GB"/>
              </w:rPr>
            </w:pPr>
            <w:r w:rsidRPr="00437CB6">
              <w:rPr>
                <w:rFonts w:ascii="Courier New" w:eastAsia="Times New Roman" w:hAnsi="Courier New" w:cs="Courier New"/>
                <w:b/>
                <w:bCs/>
                <w:noProof w:val="0"/>
                <w:color w:val="000000"/>
                <w:sz w:val="20"/>
                <w:szCs w:val="20"/>
                <w:lang w:eastAsia="en-GB"/>
              </w:rPr>
              <w:t>Site</w:t>
            </w:r>
          </w:p>
        </w:tc>
        <w:tc>
          <w:tcPr>
            <w:tcW w:w="1200" w:type="dxa"/>
          </w:tcPr>
          <w:p w14:paraId="09E04041"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noProof w:val="0"/>
                <w:color w:val="000000"/>
                <w:sz w:val="20"/>
                <w:szCs w:val="20"/>
                <w:lang w:eastAsia="en-GB"/>
              </w:rPr>
            </w:pPr>
            <w:r w:rsidRPr="00437CB6">
              <w:rPr>
                <w:rFonts w:ascii="Courier New" w:eastAsia="Times New Roman" w:hAnsi="Courier New" w:cs="Courier New"/>
                <w:b/>
                <w:bCs/>
                <w:noProof w:val="0"/>
                <w:color w:val="000000"/>
                <w:sz w:val="20"/>
                <w:szCs w:val="20"/>
                <w:lang w:eastAsia="en-GB"/>
              </w:rPr>
              <w:t>Project collector</w:t>
            </w:r>
          </w:p>
        </w:tc>
        <w:tc>
          <w:tcPr>
            <w:tcW w:w="1548" w:type="dxa"/>
          </w:tcPr>
          <w:p w14:paraId="7B0DBAE7"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noProof w:val="0"/>
                <w:color w:val="000000"/>
                <w:sz w:val="20"/>
                <w:szCs w:val="20"/>
                <w:lang w:eastAsia="en-GB"/>
              </w:rPr>
            </w:pPr>
            <w:r w:rsidRPr="00437CB6">
              <w:rPr>
                <w:rFonts w:ascii="Courier New" w:eastAsia="Times New Roman" w:hAnsi="Courier New" w:cs="Courier New"/>
                <w:b/>
                <w:bCs/>
                <w:noProof w:val="0"/>
                <w:color w:val="000000"/>
                <w:sz w:val="20"/>
                <w:szCs w:val="20"/>
                <w:lang w:eastAsia="en-GB"/>
              </w:rPr>
              <w:t>Sample collected</w:t>
            </w:r>
          </w:p>
        </w:tc>
        <w:tc>
          <w:tcPr>
            <w:tcW w:w="3441" w:type="dxa"/>
          </w:tcPr>
          <w:p w14:paraId="58C82016"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noProof w:val="0"/>
                <w:color w:val="000000"/>
                <w:sz w:val="20"/>
                <w:szCs w:val="20"/>
                <w:lang w:eastAsia="en-GB"/>
              </w:rPr>
            </w:pPr>
            <w:r w:rsidRPr="00437CB6">
              <w:rPr>
                <w:rFonts w:ascii="Courier New" w:eastAsia="Times New Roman" w:hAnsi="Courier New" w:cs="Courier New"/>
                <w:b/>
                <w:bCs/>
                <w:noProof w:val="0"/>
                <w:color w:val="000000"/>
                <w:sz w:val="20"/>
                <w:szCs w:val="20"/>
                <w:lang w:eastAsia="en-GB"/>
              </w:rPr>
              <w:t>Analysis conducted</w:t>
            </w:r>
          </w:p>
        </w:tc>
        <w:tc>
          <w:tcPr>
            <w:tcW w:w="981" w:type="dxa"/>
          </w:tcPr>
          <w:p w14:paraId="1083C2B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noProof w:val="0"/>
                <w:color w:val="000000"/>
                <w:sz w:val="20"/>
                <w:szCs w:val="20"/>
                <w:lang w:eastAsia="en-GB"/>
              </w:rPr>
            </w:pPr>
            <w:r w:rsidRPr="00437CB6">
              <w:rPr>
                <w:rFonts w:ascii="Courier New" w:eastAsia="Times New Roman" w:hAnsi="Courier New" w:cs="Courier New"/>
                <w:b/>
                <w:bCs/>
                <w:noProof w:val="0"/>
                <w:color w:val="000000"/>
                <w:sz w:val="20"/>
                <w:szCs w:val="20"/>
                <w:lang w:eastAsia="en-GB"/>
              </w:rPr>
              <w:t>Chapter</w:t>
            </w:r>
          </w:p>
        </w:tc>
      </w:tr>
      <w:tr w:rsidR="00437CB6" w:rsidRPr="00437CB6" w14:paraId="12A533E0" w14:textId="77777777" w:rsidTr="001874B2">
        <w:tc>
          <w:tcPr>
            <w:tcW w:w="1555" w:type="dxa"/>
          </w:tcPr>
          <w:p w14:paraId="41B6C2B4"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September 2016</w:t>
            </w:r>
          </w:p>
        </w:tc>
        <w:tc>
          <w:tcPr>
            <w:tcW w:w="1221" w:type="dxa"/>
          </w:tcPr>
          <w:p w14:paraId="1B58583F"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p>
        </w:tc>
        <w:tc>
          <w:tcPr>
            <w:tcW w:w="1200" w:type="dxa"/>
          </w:tcPr>
          <w:p w14:paraId="273E2F19"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proofErr w:type="spellStart"/>
            <w:r w:rsidRPr="00437CB6">
              <w:rPr>
                <w:rFonts w:ascii="Courier New" w:eastAsia="Times New Roman" w:hAnsi="Courier New" w:cs="Courier New"/>
                <w:noProof w:val="0"/>
                <w:color w:val="000000"/>
                <w:sz w:val="20"/>
                <w:szCs w:val="20"/>
                <w:lang w:eastAsia="en-GB"/>
              </w:rPr>
              <w:t>DivForages</w:t>
            </w:r>
            <w:proofErr w:type="spellEnd"/>
          </w:p>
        </w:tc>
        <w:tc>
          <w:tcPr>
            <w:tcW w:w="1548" w:type="dxa"/>
          </w:tcPr>
          <w:p w14:paraId="17A18D21"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Plots sown: PRG, SG, Bio, Her</w:t>
            </w:r>
          </w:p>
        </w:tc>
        <w:tc>
          <w:tcPr>
            <w:tcW w:w="3441" w:type="dxa"/>
          </w:tcPr>
          <w:p w14:paraId="2BAFE39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w:t>
            </w:r>
          </w:p>
        </w:tc>
        <w:tc>
          <w:tcPr>
            <w:tcW w:w="981" w:type="dxa"/>
          </w:tcPr>
          <w:p w14:paraId="15B9C41C"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 3, 4 (only SG, Bio, Her)</w:t>
            </w:r>
          </w:p>
        </w:tc>
      </w:tr>
      <w:tr w:rsidR="00437CB6" w:rsidRPr="00437CB6" w14:paraId="1B47C97E" w14:textId="77777777" w:rsidTr="001874B2">
        <w:tc>
          <w:tcPr>
            <w:tcW w:w="1555" w:type="dxa"/>
          </w:tcPr>
          <w:p w14:paraId="66C3D9B6"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March-October 2019</w:t>
            </w:r>
          </w:p>
        </w:tc>
        <w:tc>
          <w:tcPr>
            <w:tcW w:w="1221" w:type="dxa"/>
          </w:tcPr>
          <w:p w14:paraId="028403F2"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CRU – Dry and WW</w:t>
            </w:r>
          </w:p>
        </w:tc>
        <w:tc>
          <w:tcPr>
            <w:tcW w:w="1200" w:type="dxa"/>
          </w:tcPr>
          <w:p w14:paraId="1D9812D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proofErr w:type="spellStart"/>
            <w:r w:rsidRPr="00437CB6">
              <w:rPr>
                <w:rFonts w:ascii="Courier New" w:eastAsia="Times New Roman" w:hAnsi="Courier New" w:cs="Courier New"/>
                <w:noProof w:val="0"/>
                <w:color w:val="000000"/>
                <w:sz w:val="20"/>
                <w:szCs w:val="20"/>
                <w:lang w:eastAsia="en-GB"/>
              </w:rPr>
              <w:t>DivForages</w:t>
            </w:r>
            <w:proofErr w:type="spellEnd"/>
          </w:p>
        </w:tc>
        <w:tc>
          <w:tcPr>
            <w:tcW w:w="1548" w:type="dxa"/>
          </w:tcPr>
          <w:p w14:paraId="6E167C5F"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Aboveground biomass</w:t>
            </w:r>
          </w:p>
        </w:tc>
        <w:tc>
          <w:tcPr>
            <w:tcW w:w="3441" w:type="dxa"/>
          </w:tcPr>
          <w:p w14:paraId="6FAE2BF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w:t>
            </w:r>
          </w:p>
        </w:tc>
        <w:tc>
          <w:tcPr>
            <w:tcW w:w="981" w:type="dxa"/>
          </w:tcPr>
          <w:p w14:paraId="07D897E4"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3, 4</w:t>
            </w:r>
          </w:p>
        </w:tc>
      </w:tr>
      <w:tr w:rsidR="00437CB6" w:rsidRPr="00437CB6" w14:paraId="638CD697" w14:textId="77777777" w:rsidTr="001874B2">
        <w:tc>
          <w:tcPr>
            <w:tcW w:w="1555" w:type="dxa"/>
          </w:tcPr>
          <w:p w14:paraId="2C099B13"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April 2019</w:t>
            </w:r>
          </w:p>
        </w:tc>
        <w:tc>
          <w:tcPr>
            <w:tcW w:w="1221" w:type="dxa"/>
          </w:tcPr>
          <w:p w14:paraId="078EF981"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CEDAR</w:t>
            </w:r>
          </w:p>
        </w:tc>
        <w:tc>
          <w:tcPr>
            <w:tcW w:w="1200" w:type="dxa"/>
          </w:tcPr>
          <w:p w14:paraId="130675ED"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79E6B114"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Earthworms</w:t>
            </w:r>
          </w:p>
        </w:tc>
        <w:tc>
          <w:tcPr>
            <w:tcW w:w="3441" w:type="dxa"/>
          </w:tcPr>
          <w:p w14:paraId="22243E02"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Adult earthworms identified</w:t>
            </w:r>
          </w:p>
          <w:p w14:paraId="636BA26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Adult and juvenile earthworms weighed</w:t>
            </w:r>
          </w:p>
        </w:tc>
        <w:tc>
          <w:tcPr>
            <w:tcW w:w="981" w:type="dxa"/>
          </w:tcPr>
          <w:p w14:paraId="334119F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w:t>
            </w:r>
          </w:p>
        </w:tc>
      </w:tr>
      <w:tr w:rsidR="00437CB6" w:rsidRPr="00437CB6" w14:paraId="3B5E0ED2" w14:textId="77777777" w:rsidTr="001874B2">
        <w:tc>
          <w:tcPr>
            <w:tcW w:w="1555" w:type="dxa"/>
          </w:tcPr>
          <w:p w14:paraId="2D1146DB"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April 2019</w:t>
            </w:r>
          </w:p>
        </w:tc>
        <w:tc>
          <w:tcPr>
            <w:tcW w:w="1221" w:type="dxa"/>
          </w:tcPr>
          <w:p w14:paraId="0AD81DE6"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CEDAR</w:t>
            </w:r>
          </w:p>
        </w:tc>
        <w:tc>
          <w:tcPr>
            <w:tcW w:w="1200" w:type="dxa"/>
          </w:tcPr>
          <w:p w14:paraId="1FFFA7F8"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2DDB9D67"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Soil chemistry</w:t>
            </w:r>
          </w:p>
        </w:tc>
        <w:tc>
          <w:tcPr>
            <w:tcW w:w="3441" w:type="dxa"/>
          </w:tcPr>
          <w:p w14:paraId="5D3236C2"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Soil carbon and soil nitrogen (inhouse)</w:t>
            </w:r>
          </w:p>
        </w:tc>
        <w:tc>
          <w:tcPr>
            <w:tcW w:w="981" w:type="dxa"/>
          </w:tcPr>
          <w:p w14:paraId="6A6B8F1C"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w:t>
            </w:r>
          </w:p>
        </w:tc>
      </w:tr>
      <w:tr w:rsidR="00437CB6" w:rsidRPr="00437CB6" w14:paraId="71506035" w14:textId="77777777" w:rsidTr="001874B2">
        <w:tc>
          <w:tcPr>
            <w:tcW w:w="1555" w:type="dxa"/>
          </w:tcPr>
          <w:p w14:paraId="226B6C7A"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lastRenderedPageBreak/>
              <w:t>April 2019</w:t>
            </w:r>
          </w:p>
        </w:tc>
        <w:tc>
          <w:tcPr>
            <w:tcW w:w="1221" w:type="dxa"/>
          </w:tcPr>
          <w:p w14:paraId="0E2D442A"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CEDAR</w:t>
            </w:r>
          </w:p>
        </w:tc>
        <w:tc>
          <w:tcPr>
            <w:tcW w:w="1200" w:type="dxa"/>
          </w:tcPr>
          <w:p w14:paraId="799CA97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0A1D3802"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Mesofauna</w:t>
            </w:r>
          </w:p>
        </w:tc>
        <w:tc>
          <w:tcPr>
            <w:tcW w:w="3441" w:type="dxa"/>
          </w:tcPr>
          <w:p w14:paraId="1DFA6431"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Tullgren funnel. Mesofauna identified down to phylum, class or order depending on taxa</w:t>
            </w:r>
          </w:p>
        </w:tc>
        <w:tc>
          <w:tcPr>
            <w:tcW w:w="981" w:type="dxa"/>
          </w:tcPr>
          <w:p w14:paraId="29E27FDF"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w:t>
            </w:r>
          </w:p>
        </w:tc>
      </w:tr>
      <w:tr w:rsidR="00437CB6" w:rsidRPr="00437CB6" w14:paraId="624423E2" w14:textId="77777777" w:rsidTr="001874B2">
        <w:tc>
          <w:tcPr>
            <w:tcW w:w="1555" w:type="dxa"/>
          </w:tcPr>
          <w:p w14:paraId="3387B50F"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October 2019</w:t>
            </w:r>
          </w:p>
        </w:tc>
        <w:tc>
          <w:tcPr>
            <w:tcW w:w="1221" w:type="dxa"/>
          </w:tcPr>
          <w:p w14:paraId="7839D83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CRU – WW only</w:t>
            </w:r>
          </w:p>
        </w:tc>
        <w:tc>
          <w:tcPr>
            <w:tcW w:w="1200" w:type="dxa"/>
          </w:tcPr>
          <w:p w14:paraId="5E279E2D"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30EBFE3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 xml:space="preserve">Root soil cores </w:t>
            </w:r>
          </w:p>
        </w:tc>
        <w:tc>
          <w:tcPr>
            <w:tcW w:w="3441" w:type="dxa"/>
          </w:tcPr>
          <w:p w14:paraId="6883491B"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Root biomass – chapter 2 and 3</w:t>
            </w:r>
          </w:p>
          <w:p w14:paraId="0F989091"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Root surface area – chapter 3</w:t>
            </w:r>
          </w:p>
        </w:tc>
        <w:tc>
          <w:tcPr>
            <w:tcW w:w="981" w:type="dxa"/>
          </w:tcPr>
          <w:p w14:paraId="6AEEB289"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2, 3</w:t>
            </w:r>
          </w:p>
        </w:tc>
      </w:tr>
      <w:tr w:rsidR="00437CB6" w:rsidRPr="00437CB6" w14:paraId="70171130" w14:textId="77777777" w:rsidTr="001874B2">
        <w:tc>
          <w:tcPr>
            <w:tcW w:w="1555" w:type="dxa"/>
          </w:tcPr>
          <w:p w14:paraId="6B218784"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March 2020</w:t>
            </w:r>
          </w:p>
        </w:tc>
        <w:tc>
          <w:tcPr>
            <w:tcW w:w="1221" w:type="dxa"/>
          </w:tcPr>
          <w:p w14:paraId="0058BACF"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CRU – Dry and WW</w:t>
            </w:r>
          </w:p>
        </w:tc>
        <w:tc>
          <w:tcPr>
            <w:tcW w:w="1200" w:type="dxa"/>
          </w:tcPr>
          <w:p w14:paraId="67034162"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proofErr w:type="spellStart"/>
            <w:r w:rsidRPr="00437CB6">
              <w:rPr>
                <w:rFonts w:ascii="Courier New" w:eastAsia="Times New Roman" w:hAnsi="Courier New" w:cs="Courier New"/>
                <w:noProof w:val="0"/>
                <w:color w:val="000000"/>
                <w:sz w:val="20"/>
                <w:szCs w:val="20"/>
                <w:lang w:eastAsia="en-GB"/>
              </w:rPr>
              <w:t>DivForages</w:t>
            </w:r>
            <w:proofErr w:type="spellEnd"/>
          </w:p>
        </w:tc>
        <w:tc>
          <w:tcPr>
            <w:tcW w:w="1548" w:type="dxa"/>
          </w:tcPr>
          <w:p w14:paraId="02F0309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Soil chemistry</w:t>
            </w:r>
          </w:p>
        </w:tc>
        <w:tc>
          <w:tcPr>
            <w:tcW w:w="3441" w:type="dxa"/>
          </w:tcPr>
          <w:p w14:paraId="5383ABA6"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Sent to NRM for pH, P, N, K, Mg, OM, C</w:t>
            </w:r>
          </w:p>
        </w:tc>
        <w:tc>
          <w:tcPr>
            <w:tcW w:w="981" w:type="dxa"/>
          </w:tcPr>
          <w:p w14:paraId="7D5CE701"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2, 3, 4</w:t>
            </w:r>
          </w:p>
        </w:tc>
      </w:tr>
      <w:tr w:rsidR="00437CB6" w:rsidRPr="00437CB6" w14:paraId="7301BFF9" w14:textId="77777777" w:rsidTr="001874B2">
        <w:tc>
          <w:tcPr>
            <w:tcW w:w="1555" w:type="dxa"/>
          </w:tcPr>
          <w:p w14:paraId="3FFB5A25"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March 2020</w:t>
            </w:r>
          </w:p>
        </w:tc>
        <w:tc>
          <w:tcPr>
            <w:tcW w:w="1221" w:type="dxa"/>
          </w:tcPr>
          <w:p w14:paraId="28BE1316"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CRU – Dry and WW</w:t>
            </w:r>
          </w:p>
        </w:tc>
        <w:tc>
          <w:tcPr>
            <w:tcW w:w="1200" w:type="dxa"/>
          </w:tcPr>
          <w:p w14:paraId="1EEEFE13"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 xml:space="preserve">SS and </w:t>
            </w:r>
            <w:proofErr w:type="spellStart"/>
            <w:r w:rsidRPr="00437CB6">
              <w:rPr>
                <w:rFonts w:ascii="Courier New" w:eastAsia="Times New Roman" w:hAnsi="Courier New" w:cs="Courier New"/>
                <w:noProof w:val="0"/>
                <w:color w:val="000000"/>
                <w:sz w:val="20"/>
                <w:szCs w:val="20"/>
                <w:lang w:eastAsia="en-GB"/>
              </w:rPr>
              <w:t>DivForages</w:t>
            </w:r>
            <w:proofErr w:type="spellEnd"/>
          </w:p>
        </w:tc>
        <w:tc>
          <w:tcPr>
            <w:tcW w:w="1548" w:type="dxa"/>
          </w:tcPr>
          <w:p w14:paraId="5195D287"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Earthworms</w:t>
            </w:r>
          </w:p>
        </w:tc>
        <w:tc>
          <w:tcPr>
            <w:tcW w:w="3441" w:type="dxa"/>
          </w:tcPr>
          <w:p w14:paraId="7BBA64A6"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Earthworm biomass</w:t>
            </w:r>
          </w:p>
        </w:tc>
        <w:tc>
          <w:tcPr>
            <w:tcW w:w="981" w:type="dxa"/>
          </w:tcPr>
          <w:p w14:paraId="38B42BD1"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3, 4</w:t>
            </w:r>
          </w:p>
        </w:tc>
      </w:tr>
      <w:tr w:rsidR="00437CB6" w:rsidRPr="00437CB6" w14:paraId="62ECD621" w14:textId="77777777" w:rsidTr="001874B2">
        <w:tc>
          <w:tcPr>
            <w:tcW w:w="1555" w:type="dxa"/>
          </w:tcPr>
          <w:p w14:paraId="252EA58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March 2020</w:t>
            </w:r>
          </w:p>
        </w:tc>
        <w:tc>
          <w:tcPr>
            <w:tcW w:w="1221" w:type="dxa"/>
          </w:tcPr>
          <w:p w14:paraId="098FE4AA"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CRU – Dry and WW</w:t>
            </w:r>
          </w:p>
        </w:tc>
        <w:tc>
          <w:tcPr>
            <w:tcW w:w="1200" w:type="dxa"/>
          </w:tcPr>
          <w:p w14:paraId="7043F3F8"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79F3635B"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Ryegrass AMF trap plants planted</w:t>
            </w:r>
          </w:p>
        </w:tc>
        <w:tc>
          <w:tcPr>
            <w:tcW w:w="3441" w:type="dxa"/>
          </w:tcPr>
          <w:p w14:paraId="09379A6A"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w:t>
            </w:r>
          </w:p>
        </w:tc>
        <w:tc>
          <w:tcPr>
            <w:tcW w:w="981" w:type="dxa"/>
          </w:tcPr>
          <w:p w14:paraId="352B8DD4"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2, 3, 4</w:t>
            </w:r>
          </w:p>
        </w:tc>
      </w:tr>
      <w:tr w:rsidR="00437CB6" w:rsidRPr="00437CB6" w14:paraId="5011EE23" w14:textId="77777777" w:rsidTr="001874B2">
        <w:tc>
          <w:tcPr>
            <w:tcW w:w="1555" w:type="dxa"/>
          </w:tcPr>
          <w:p w14:paraId="32DFA135"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September 2020</w:t>
            </w:r>
          </w:p>
        </w:tc>
        <w:tc>
          <w:tcPr>
            <w:tcW w:w="1221" w:type="dxa"/>
          </w:tcPr>
          <w:p w14:paraId="48383356"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CRU – Dry and WW</w:t>
            </w:r>
          </w:p>
        </w:tc>
        <w:tc>
          <w:tcPr>
            <w:tcW w:w="1200" w:type="dxa"/>
          </w:tcPr>
          <w:p w14:paraId="2F165637"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06F64C02"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Soil samples for DNA</w:t>
            </w:r>
          </w:p>
        </w:tc>
        <w:tc>
          <w:tcPr>
            <w:tcW w:w="3441" w:type="dxa"/>
          </w:tcPr>
          <w:p w14:paraId="31CE9BE7"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 xml:space="preserve">Bulk soil fungal DNA extracted </w:t>
            </w:r>
          </w:p>
        </w:tc>
        <w:tc>
          <w:tcPr>
            <w:tcW w:w="981" w:type="dxa"/>
          </w:tcPr>
          <w:p w14:paraId="5E3FC914"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3</w:t>
            </w:r>
          </w:p>
        </w:tc>
      </w:tr>
      <w:tr w:rsidR="00437CB6" w:rsidRPr="00437CB6" w14:paraId="057E951F" w14:textId="77777777" w:rsidTr="001874B2">
        <w:tc>
          <w:tcPr>
            <w:tcW w:w="1555" w:type="dxa"/>
          </w:tcPr>
          <w:p w14:paraId="5AE9A7CE"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October 2020</w:t>
            </w:r>
          </w:p>
        </w:tc>
        <w:tc>
          <w:tcPr>
            <w:tcW w:w="1221" w:type="dxa"/>
          </w:tcPr>
          <w:p w14:paraId="50D763AD"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CRU – Dry and WW</w:t>
            </w:r>
          </w:p>
        </w:tc>
        <w:tc>
          <w:tcPr>
            <w:tcW w:w="1200" w:type="dxa"/>
          </w:tcPr>
          <w:p w14:paraId="7217B584"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129B88B5"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Ryegrass AMF trap plants removed</w:t>
            </w:r>
          </w:p>
        </w:tc>
        <w:tc>
          <w:tcPr>
            <w:tcW w:w="3441" w:type="dxa"/>
          </w:tcPr>
          <w:p w14:paraId="73D8560D"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AMF colonisation determined via root staining (Dry and WW)</w:t>
            </w:r>
          </w:p>
          <w:p w14:paraId="4D6A29CE"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AMF root DNA (Dry site only, Chapter 4 only)</w:t>
            </w:r>
          </w:p>
          <w:p w14:paraId="7CD2B20D"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Rhizosphere soil AMF DNA (Dry site only, Chapter 4 only)</w:t>
            </w:r>
          </w:p>
        </w:tc>
        <w:tc>
          <w:tcPr>
            <w:tcW w:w="981" w:type="dxa"/>
          </w:tcPr>
          <w:p w14:paraId="3A05A458"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2, 3, 4</w:t>
            </w:r>
          </w:p>
        </w:tc>
      </w:tr>
      <w:tr w:rsidR="00437CB6" w:rsidRPr="00437CB6" w14:paraId="6B6BA561" w14:textId="77777777" w:rsidTr="001874B2">
        <w:tc>
          <w:tcPr>
            <w:tcW w:w="1555" w:type="dxa"/>
          </w:tcPr>
          <w:p w14:paraId="642B6EDF"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July 2021</w:t>
            </w:r>
          </w:p>
        </w:tc>
        <w:tc>
          <w:tcPr>
            <w:tcW w:w="1221" w:type="dxa"/>
          </w:tcPr>
          <w:p w14:paraId="71494C15"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u w:val="single"/>
                <w:lang w:eastAsia="en-GB"/>
              </w:rPr>
            </w:pPr>
            <w:r w:rsidRPr="00437CB6">
              <w:rPr>
                <w:rFonts w:ascii="Courier New" w:eastAsia="Times New Roman" w:hAnsi="Courier New" w:cs="Courier New"/>
                <w:noProof w:val="0"/>
                <w:color w:val="000000"/>
                <w:sz w:val="20"/>
                <w:szCs w:val="20"/>
                <w:lang w:eastAsia="en-GB"/>
              </w:rPr>
              <w:t>CRU – Dry and WW</w:t>
            </w:r>
          </w:p>
        </w:tc>
        <w:tc>
          <w:tcPr>
            <w:tcW w:w="1200" w:type="dxa"/>
          </w:tcPr>
          <w:p w14:paraId="23F8B120"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SS</w:t>
            </w:r>
          </w:p>
        </w:tc>
        <w:tc>
          <w:tcPr>
            <w:tcW w:w="1548" w:type="dxa"/>
          </w:tcPr>
          <w:p w14:paraId="16AFD6E5"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 xml:space="preserve">Soil sampling for chemistry &amp; </w:t>
            </w:r>
            <w:proofErr w:type="spellStart"/>
            <w:r w:rsidRPr="00437CB6">
              <w:rPr>
                <w:rFonts w:ascii="Courier New" w:eastAsia="Times New Roman" w:hAnsi="Courier New" w:cs="Courier New"/>
                <w:noProof w:val="0"/>
                <w:color w:val="000000"/>
                <w:sz w:val="20"/>
                <w:szCs w:val="20"/>
                <w:lang w:eastAsia="en-GB"/>
              </w:rPr>
              <w:t>Microresp</w:t>
            </w:r>
            <w:proofErr w:type="spellEnd"/>
            <w:r w:rsidRPr="00437CB6">
              <w:rPr>
                <w:rFonts w:ascii="Courier New" w:eastAsia="Times New Roman" w:hAnsi="Courier New" w:cs="Courier New"/>
                <w:noProof w:val="0"/>
                <w:color w:val="000000"/>
                <w:sz w:val="20"/>
                <w:szCs w:val="20"/>
                <w:lang w:eastAsia="en-GB"/>
              </w:rPr>
              <w:t xml:space="preserve"> experiment</w:t>
            </w:r>
          </w:p>
        </w:tc>
        <w:tc>
          <w:tcPr>
            <w:tcW w:w="3441" w:type="dxa"/>
          </w:tcPr>
          <w:p w14:paraId="72D3C07E"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 xml:space="preserve">Soil chemistry sent to NRM laboratories for total C and N (Chapters 3 and 4). </w:t>
            </w:r>
            <w:proofErr w:type="spellStart"/>
            <w:r w:rsidRPr="00437CB6">
              <w:rPr>
                <w:rFonts w:ascii="Courier New" w:eastAsia="Times New Roman" w:hAnsi="Courier New" w:cs="Courier New"/>
                <w:noProof w:val="0"/>
                <w:color w:val="000000"/>
                <w:sz w:val="20"/>
                <w:szCs w:val="20"/>
                <w:lang w:eastAsia="en-GB"/>
              </w:rPr>
              <w:t>Microresp</w:t>
            </w:r>
            <w:proofErr w:type="spellEnd"/>
            <w:r w:rsidRPr="00437CB6">
              <w:rPr>
                <w:rFonts w:ascii="Courier New" w:eastAsia="Times New Roman" w:hAnsi="Courier New" w:cs="Courier New"/>
                <w:noProof w:val="0"/>
                <w:color w:val="000000"/>
                <w:sz w:val="20"/>
                <w:szCs w:val="20"/>
                <w:lang w:eastAsia="en-GB"/>
              </w:rPr>
              <w:t xml:space="preserve"> data for multiple substrate induced respiration and microbial functional diversity (Chapter 3 only)</w:t>
            </w:r>
          </w:p>
        </w:tc>
        <w:tc>
          <w:tcPr>
            <w:tcW w:w="981" w:type="dxa"/>
          </w:tcPr>
          <w:p w14:paraId="408C8F8B" w14:textId="77777777" w:rsidR="00437CB6" w:rsidRPr="00437CB6" w:rsidRDefault="00437CB6" w:rsidP="0043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noProof w:val="0"/>
                <w:color w:val="000000"/>
                <w:sz w:val="20"/>
                <w:szCs w:val="20"/>
                <w:lang w:eastAsia="en-GB"/>
              </w:rPr>
            </w:pPr>
            <w:r w:rsidRPr="00437CB6">
              <w:rPr>
                <w:rFonts w:ascii="Courier New" w:eastAsia="Times New Roman" w:hAnsi="Courier New" w:cs="Courier New"/>
                <w:noProof w:val="0"/>
                <w:color w:val="000000"/>
                <w:sz w:val="20"/>
                <w:szCs w:val="20"/>
                <w:lang w:eastAsia="en-GB"/>
              </w:rPr>
              <w:t>3, 4</w:t>
            </w:r>
          </w:p>
        </w:tc>
      </w:tr>
    </w:tbl>
    <w:p w14:paraId="298CFEDF"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0EE0E651"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64F05B62" w14:textId="604670C3" w:rsidR="00554DB1" w:rsidRPr="00554DB1" w:rsidRDefault="00554DB1" w:rsidP="000B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 xml:space="preserve">Cite as: </w:t>
      </w:r>
      <w:r w:rsidR="000B2C72">
        <w:rPr>
          <w:rFonts w:ascii="Courier New" w:eastAsia="Times New Roman" w:hAnsi="Courier New" w:cs="Courier New"/>
          <w:noProof w:val="0"/>
          <w:color w:val="000000"/>
          <w:kern w:val="0"/>
          <w:sz w:val="20"/>
          <w:szCs w:val="20"/>
          <w:lang w:eastAsia="en-GB"/>
          <w14:ligatures w14:val="none"/>
        </w:rPr>
        <w:t xml:space="preserve">Sarah </w:t>
      </w:r>
      <w:r w:rsidR="008D0EFE">
        <w:rPr>
          <w:rFonts w:ascii="Courier New" w:eastAsia="Times New Roman" w:hAnsi="Courier New" w:cs="Courier New"/>
          <w:noProof w:val="0"/>
          <w:color w:val="000000"/>
          <w:kern w:val="0"/>
          <w:sz w:val="20"/>
          <w:szCs w:val="20"/>
          <w:lang w:eastAsia="en-GB"/>
          <w14:ligatures w14:val="none"/>
        </w:rPr>
        <w:t>Shepperd</w:t>
      </w:r>
      <w:r w:rsidRPr="00554DB1">
        <w:rPr>
          <w:rFonts w:ascii="Courier New" w:eastAsia="Times New Roman" w:hAnsi="Courier New" w:cs="Courier New"/>
          <w:noProof w:val="0"/>
          <w:color w:val="000000"/>
          <w:kern w:val="0"/>
          <w:sz w:val="20"/>
          <w:szCs w:val="20"/>
          <w:lang w:eastAsia="en-GB"/>
          <w14:ligatures w14:val="none"/>
        </w:rPr>
        <w:t xml:space="preserve"> (</w:t>
      </w:r>
      <w:r w:rsidR="008D0EFE">
        <w:rPr>
          <w:rFonts w:ascii="Courier New" w:eastAsia="Times New Roman" w:hAnsi="Courier New" w:cs="Courier New"/>
          <w:noProof w:val="0"/>
          <w:color w:val="000000"/>
          <w:kern w:val="0"/>
          <w:sz w:val="20"/>
          <w:szCs w:val="20"/>
          <w:lang w:eastAsia="en-GB"/>
          <w14:ligatures w14:val="none"/>
        </w:rPr>
        <w:t>2023</w:t>
      </w:r>
      <w:r w:rsidRPr="00554DB1">
        <w:rPr>
          <w:rFonts w:ascii="Courier New" w:eastAsia="Times New Roman" w:hAnsi="Courier New" w:cs="Courier New"/>
          <w:noProof w:val="0"/>
          <w:color w:val="000000"/>
          <w:kern w:val="0"/>
          <w:sz w:val="20"/>
          <w:szCs w:val="20"/>
          <w:lang w:eastAsia="en-GB"/>
          <w14:ligatures w14:val="none"/>
        </w:rPr>
        <w:t xml:space="preserve">): </w:t>
      </w:r>
      <w:r w:rsidR="008D0EFE" w:rsidRPr="008D0EFE">
        <w:rPr>
          <w:rFonts w:ascii="Courier New" w:eastAsia="Times New Roman" w:hAnsi="Courier New" w:cs="Courier New"/>
          <w:noProof w:val="0"/>
          <w:color w:val="000000"/>
          <w:kern w:val="0"/>
          <w:sz w:val="20"/>
          <w:szCs w:val="20"/>
          <w:lang w:eastAsia="en-GB"/>
          <w14:ligatures w14:val="none"/>
        </w:rPr>
        <w:t>Soil invertebrate and mycorrhizal activity in diverse grasslands: benefits for ecosystem service provision</w:t>
      </w:r>
      <w:r w:rsidR="008D0EFE">
        <w:rPr>
          <w:rFonts w:ascii="Courier New" w:eastAsia="Times New Roman" w:hAnsi="Courier New" w:cs="Courier New"/>
          <w:noProof w:val="0"/>
          <w:color w:val="000000"/>
          <w:kern w:val="0"/>
          <w:sz w:val="20"/>
          <w:szCs w:val="20"/>
          <w:lang w:eastAsia="en-GB"/>
          <w14:ligatures w14:val="none"/>
        </w:rPr>
        <w:t>- PhD thesis</w:t>
      </w:r>
      <w:r w:rsidR="00034489">
        <w:rPr>
          <w:rFonts w:ascii="Courier New" w:eastAsia="Times New Roman" w:hAnsi="Courier New" w:cs="Courier New"/>
          <w:noProof w:val="0"/>
          <w:color w:val="000000"/>
          <w:kern w:val="0"/>
          <w:sz w:val="20"/>
          <w:szCs w:val="20"/>
          <w:lang w:eastAsia="en-GB"/>
          <w14:ligatures w14:val="none"/>
        </w:rPr>
        <w:t xml:space="preserve"> dataset</w:t>
      </w:r>
      <w:r w:rsidRPr="00554DB1">
        <w:rPr>
          <w:rFonts w:ascii="Courier New" w:eastAsia="Times New Roman" w:hAnsi="Courier New" w:cs="Courier New"/>
          <w:noProof w:val="0"/>
          <w:color w:val="000000"/>
          <w:kern w:val="0"/>
          <w:sz w:val="20"/>
          <w:szCs w:val="20"/>
          <w:lang w:eastAsia="en-GB"/>
          <w14:ligatures w14:val="none"/>
        </w:rPr>
        <w:t xml:space="preserve">. University of Reading. Dataset. </w:t>
      </w:r>
      <w:r w:rsidR="00D424DA" w:rsidRPr="00D424DA">
        <w:rPr>
          <w:rFonts w:ascii="Courier New" w:eastAsia="Times New Roman" w:hAnsi="Courier New" w:cs="Courier New"/>
          <w:noProof w:val="0"/>
          <w:color w:val="000000"/>
          <w:kern w:val="0"/>
          <w:sz w:val="20"/>
          <w:szCs w:val="20"/>
          <w:lang w:eastAsia="en-GB"/>
          <w14:ligatures w14:val="none"/>
        </w:rPr>
        <w:t>https://doi.org/10.17864/1947.000514</w:t>
      </w:r>
      <w:r w:rsidRPr="00554DB1">
        <w:rPr>
          <w:rFonts w:ascii="Courier New" w:eastAsia="Times New Roman" w:hAnsi="Courier New" w:cs="Courier New"/>
          <w:noProof w:val="0"/>
          <w:color w:val="000000"/>
          <w:kern w:val="0"/>
          <w:sz w:val="20"/>
          <w:szCs w:val="20"/>
          <w:lang w:eastAsia="en-GB"/>
          <w14:ligatures w14:val="none"/>
        </w:rPr>
        <w:t xml:space="preserve"> </w:t>
      </w:r>
    </w:p>
    <w:p w14:paraId="73EEB403"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4CFB4798"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5EF68023"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2. TERMS OF USE</w:t>
      </w:r>
    </w:p>
    <w:p w14:paraId="319EAA77"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w:t>
      </w:r>
    </w:p>
    <w:p w14:paraId="2EFE525A"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6DAA063B" w14:textId="0960CBAD"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 xml:space="preserve">Copyright </w:t>
      </w:r>
      <w:r w:rsidR="008D0EFE">
        <w:rPr>
          <w:rFonts w:ascii="Courier New" w:eastAsia="Times New Roman" w:hAnsi="Courier New" w:cs="Courier New"/>
          <w:noProof w:val="0"/>
          <w:color w:val="000000"/>
          <w:kern w:val="0"/>
          <w:sz w:val="20"/>
          <w:szCs w:val="20"/>
          <w:lang w:eastAsia="en-GB"/>
          <w14:ligatures w14:val="none"/>
        </w:rPr>
        <w:t>2023</w:t>
      </w:r>
      <w:r w:rsidRPr="00554DB1">
        <w:rPr>
          <w:rFonts w:ascii="Courier New" w:eastAsia="Times New Roman" w:hAnsi="Courier New" w:cs="Courier New"/>
          <w:noProof w:val="0"/>
          <w:color w:val="000000"/>
          <w:kern w:val="0"/>
          <w:sz w:val="20"/>
          <w:szCs w:val="20"/>
          <w:lang w:eastAsia="en-GB"/>
          <w14:ligatures w14:val="none"/>
        </w:rPr>
        <w:t xml:space="preserve"> </w:t>
      </w:r>
      <w:r w:rsidR="00D424DA">
        <w:rPr>
          <w:rFonts w:ascii="Courier New" w:eastAsia="Times New Roman" w:hAnsi="Courier New" w:cs="Courier New"/>
          <w:noProof w:val="0"/>
          <w:color w:val="000000"/>
          <w:kern w:val="0"/>
          <w:sz w:val="20"/>
          <w:szCs w:val="20"/>
          <w:lang w:eastAsia="en-GB"/>
          <w14:ligatures w14:val="none"/>
        </w:rPr>
        <w:t>University of Reading</w:t>
      </w:r>
      <w:r w:rsidRPr="00554DB1">
        <w:rPr>
          <w:rFonts w:ascii="Courier New" w:eastAsia="Times New Roman" w:hAnsi="Courier New" w:cs="Courier New"/>
          <w:noProof w:val="0"/>
          <w:color w:val="000000"/>
          <w:kern w:val="0"/>
          <w:sz w:val="20"/>
          <w:szCs w:val="20"/>
          <w:lang w:eastAsia="en-GB"/>
          <w14:ligatures w14:val="none"/>
        </w:rPr>
        <w:t>. This dataset is licensed under a Creative Commons Attribution 4.0 International Licence: https://creativecommons.org/licenses/by/4.0/.</w:t>
      </w:r>
    </w:p>
    <w:p w14:paraId="2EBE06D6"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4B190DE4"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1B36CEFA"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3. PROJECT AND FUNDING INFORMATION</w:t>
      </w:r>
    </w:p>
    <w:p w14:paraId="20AF1CEC"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w:t>
      </w:r>
    </w:p>
    <w:p w14:paraId="78F543E0"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17C115BE" w14:textId="24CC5A33" w:rsidR="008D0EFE" w:rsidRPr="008D0EFE" w:rsidRDefault="00554DB1" w:rsidP="008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 xml:space="preserve">Title: </w:t>
      </w:r>
      <w:r w:rsidR="008D0EFE" w:rsidRPr="008D0EFE">
        <w:rPr>
          <w:rFonts w:ascii="Courier New" w:eastAsia="Times New Roman" w:hAnsi="Courier New" w:cs="Courier New"/>
          <w:noProof w:val="0"/>
          <w:color w:val="000000"/>
          <w:kern w:val="0"/>
          <w:sz w:val="20"/>
          <w:szCs w:val="20"/>
          <w:lang w:eastAsia="en-GB"/>
          <w14:ligatures w14:val="none"/>
        </w:rPr>
        <w:t>Soil invertebrate and mycorrhizal activity in diverse grasslands: benefits for ecosystem service provision</w:t>
      </w:r>
      <w:r w:rsidR="008D0EFE">
        <w:rPr>
          <w:rFonts w:ascii="Courier New" w:eastAsia="Times New Roman" w:hAnsi="Courier New" w:cs="Courier New"/>
          <w:noProof w:val="0"/>
          <w:color w:val="000000"/>
          <w:kern w:val="0"/>
          <w:sz w:val="20"/>
          <w:szCs w:val="20"/>
          <w:lang w:eastAsia="en-GB"/>
          <w14:ligatures w14:val="none"/>
        </w:rPr>
        <w:t xml:space="preserve"> – PhD thesis</w:t>
      </w:r>
    </w:p>
    <w:p w14:paraId="6C574A9D"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6BD65FA5" w14:textId="500E42D6"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 xml:space="preserve">Dates: </w:t>
      </w:r>
      <w:r w:rsidR="008D0EFE">
        <w:rPr>
          <w:rFonts w:ascii="Courier New" w:eastAsia="Times New Roman" w:hAnsi="Courier New" w:cs="Courier New"/>
          <w:noProof w:val="0"/>
          <w:color w:val="000000"/>
          <w:kern w:val="0"/>
          <w:sz w:val="20"/>
          <w:szCs w:val="20"/>
          <w:lang w:eastAsia="en-GB"/>
          <w14:ligatures w14:val="none"/>
        </w:rPr>
        <w:t>Oct 2018 – July 2022</w:t>
      </w:r>
    </w:p>
    <w:p w14:paraId="1A202B77"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5F3024B5" w14:textId="62EB3B1C"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 xml:space="preserve">Funding organisation: </w:t>
      </w:r>
      <w:r w:rsidR="008D0EFE">
        <w:rPr>
          <w:rFonts w:ascii="Courier New" w:eastAsia="Times New Roman" w:hAnsi="Courier New" w:cs="Courier New"/>
          <w:noProof w:val="0"/>
          <w:color w:val="000000"/>
          <w:kern w:val="0"/>
          <w:sz w:val="20"/>
          <w:szCs w:val="20"/>
          <w:lang w:eastAsia="en-GB"/>
          <w14:ligatures w14:val="none"/>
        </w:rPr>
        <w:t>Perry Foundation and University of Reading</w:t>
      </w:r>
    </w:p>
    <w:p w14:paraId="54FD2199"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7C252F4F"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3994F2E5"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22370526"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4. CONTENTS</w:t>
      </w:r>
    </w:p>
    <w:p w14:paraId="33CD40FF"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w:t>
      </w:r>
    </w:p>
    <w:p w14:paraId="64434755"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File listing</w:t>
      </w:r>
    </w:p>
    <w:p w14:paraId="041479C6"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7A714EB3" w14:textId="61F9E9AA" w:rsidR="008C4745" w:rsidRPr="008C4745" w:rsidRDefault="008C4745" w:rsidP="008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8C4745">
        <w:rPr>
          <w:rFonts w:ascii="Courier New" w:eastAsia="Times New Roman" w:hAnsi="Courier New" w:cs="Courier New"/>
          <w:noProof w:val="0"/>
          <w:color w:val="000000"/>
          <w:kern w:val="0"/>
          <w:sz w:val="20"/>
          <w:szCs w:val="20"/>
          <w:lang w:eastAsia="en-GB"/>
          <w14:ligatures w14:val="none"/>
        </w:rPr>
        <w:t>SHEPPERD_2023 EXCEL file with data per tab</w:t>
      </w:r>
      <w:r w:rsidR="007370CE">
        <w:rPr>
          <w:rFonts w:ascii="Courier New" w:eastAsia="Times New Roman" w:hAnsi="Courier New" w:cs="Courier New"/>
          <w:noProof w:val="0"/>
          <w:color w:val="000000"/>
          <w:kern w:val="0"/>
          <w:sz w:val="20"/>
          <w:szCs w:val="20"/>
          <w:lang w:eastAsia="en-GB"/>
          <w14:ligatures w14:val="none"/>
        </w:rPr>
        <w:t>:</w:t>
      </w:r>
    </w:p>
    <w:p w14:paraId="5C8CE53E"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highlight w:val="yellow"/>
          <w:lang w:eastAsia="en-GB"/>
          <w14:ligatures w14:val="none"/>
        </w:rPr>
      </w:pPr>
    </w:p>
    <w:p w14:paraId="075831A9" w14:textId="49A4F4A5" w:rsidR="00554DB1"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Soil 2020 – soil chemistry and physical data collected in spring 2020 over the two farms used for the research (further information in methods section). Soil cores were taken to 30cm depth and sent to NRM laboratories for analysis</w:t>
      </w:r>
    </w:p>
    <w:p w14:paraId="62BF5A59" w14:textId="77777777"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65B077C9" w14:textId="23A6E7BB"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 xml:space="preserve">Soil moisture 2020 – soil moisture taken over the two farms in spring 2020 using a soil moisture probe over 3 depths </w:t>
      </w:r>
    </w:p>
    <w:p w14:paraId="329E2194" w14:textId="77777777"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6B23DC05" w14:textId="2326BFE9"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 xml:space="preserve">Roots for R – Root data for the Sonning medium site only taken by soil corer over four depths down to 60cm. Root length, root surface area, average diameter, root length per volume and root volume all calculated using a </w:t>
      </w:r>
      <w:proofErr w:type="spellStart"/>
      <w:r>
        <w:rPr>
          <w:rFonts w:ascii="Courier New" w:eastAsia="Times New Roman" w:hAnsi="Courier New" w:cs="Courier New"/>
          <w:noProof w:val="0"/>
          <w:color w:val="000000"/>
          <w:kern w:val="0"/>
          <w:sz w:val="20"/>
          <w:szCs w:val="20"/>
          <w:lang w:eastAsia="en-GB"/>
          <w14:ligatures w14:val="none"/>
        </w:rPr>
        <w:t>winrhizo</w:t>
      </w:r>
      <w:proofErr w:type="spellEnd"/>
      <w:r>
        <w:rPr>
          <w:rFonts w:ascii="Courier New" w:eastAsia="Times New Roman" w:hAnsi="Courier New" w:cs="Courier New"/>
          <w:noProof w:val="0"/>
          <w:color w:val="000000"/>
          <w:kern w:val="0"/>
          <w:sz w:val="20"/>
          <w:szCs w:val="20"/>
          <w:lang w:eastAsia="en-GB"/>
          <w14:ligatures w14:val="none"/>
        </w:rPr>
        <w:t xml:space="preserve"> software (further information in methods below)</w:t>
      </w:r>
    </w:p>
    <w:p w14:paraId="44297DF3" w14:textId="77777777"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7644FC37" w14:textId="1DC1117E"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roofErr w:type="spellStart"/>
      <w:r>
        <w:rPr>
          <w:rFonts w:ascii="Courier New" w:eastAsia="Times New Roman" w:hAnsi="Courier New" w:cs="Courier New"/>
          <w:noProof w:val="0"/>
          <w:color w:val="000000"/>
          <w:kern w:val="0"/>
          <w:sz w:val="20"/>
          <w:szCs w:val="20"/>
          <w:lang w:eastAsia="en-GB"/>
          <w14:ligatures w14:val="none"/>
        </w:rPr>
        <w:t>Microresp</w:t>
      </w:r>
      <w:proofErr w:type="spellEnd"/>
      <w:r w:rsidR="00113C31">
        <w:rPr>
          <w:rFonts w:ascii="Courier New" w:eastAsia="Times New Roman" w:hAnsi="Courier New" w:cs="Courier New"/>
          <w:noProof w:val="0"/>
          <w:color w:val="000000"/>
          <w:kern w:val="0"/>
          <w:sz w:val="20"/>
          <w:szCs w:val="20"/>
          <w:lang w:eastAsia="en-GB"/>
          <w14:ligatures w14:val="none"/>
        </w:rPr>
        <w:t xml:space="preserve"> – percentage CO2 expelled during the </w:t>
      </w:r>
      <w:proofErr w:type="spellStart"/>
      <w:r w:rsidR="00113C31">
        <w:rPr>
          <w:rFonts w:ascii="Courier New" w:eastAsia="Times New Roman" w:hAnsi="Courier New" w:cs="Courier New"/>
          <w:noProof w:val="0"/>
          <w:color w:val="000000"/>
          <w:kern w:val="0"/>
          <w:sz w:val="20"/>
          <w:szCs w:val="20"/>
          <w:lang w:eastAsia="en-GB"/>
          <w14:ligatures w14:val="none"/>
        </w:rPr>
        <w:t>microresp</w:t>
      </w:r>
      <w:proofErr w:type="spellEnd"/>
      <w:r w:rsidR="00113C31">
        <w:rPr>
          <w:rFonts w:ascii="Courier New" w:eastAsia="Times New Roman" w:hAnsi="Courier New" w:cs="Courier New"/>
          <w:noProof w:val="0"/>
          <w:color w:val="000000"/>
          <w:kern w:val="0"/>
          <w:sz w:val="20"/>
          <w:szCs w:val="20"/>
          <w:lang w:eastAsia="en-GB"/>
          <w14:ligatures w14:val="none"/>
        </w:rPr>
        <w:t xml:space="preserve"> experiment from soil samples taken at the two Sonning sites in 2021. 7 carbon substrates and a water blank used (more information on methods below)</w:t>
      </w:r>
    </w:p>
    <w:p w14:paraId="799689D7" w14:textId="77777777" w:rsidR="00113C31" w:rsidRDefault="00113C3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7888E3D5" w14:textId="50FCC11F"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Root biomass</w:t>
      </w:r>
      <w:r w:rsidR="00113C31">
        <w:rPr>
          <w:rFonts w:ascii="Courier New" w:eastAsia="Times New Roman" w:hAnsi="Courier New" w:cs="Courier New"/>
          <w:noProof w:val="0"/>
          <w:color w:val="000000"/>
          <w:kern w:val="0"/>
          <w:sz w:val="20"/>
          <w:szCs w:val="20"/>
          <w:lang w:eastAsia="en-GB"/>
          <w14:ligatures w14:val="none"/>
        </w:rPr>
        <w:t xml:space="preserve"> – dried root biomass from the soil cores taken in 2019 at the Sonning medium site over 4 depths down to 60cm</w:t>
      </w:r>
    </w:p>
    <w:p w14:paraId="3BF8F59A" w14:textId="77777777" w:rsidR="00113C31" w:rsidRDefault="00113C3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20346876" w14:textId="7CF84AC5"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Worm biomass 2019</w:t>
      </w:r>
      <w:r w:rsidR="00113C31">
        <w:rPr>
          <w:rFonts w:ascii="Courier New" w:eastAsia="Times New Roman" w:hAnsi="Courier New" w:cs="Courier New"/>
          <w:noProof w:val="0"/>
          <w:color w:val="000000"/>
          <w:kern w:val="0"/>
          <w:sz w:val="20"/>
          <w:szCs w:val="20"/>
          <w:lang w:eastAsia="en-GB"/>
          <w14:ligatures w14:val="none"/>
        </w:rPr>
        <w:t xml:space="preserve"> – earthworm data collected at the CEDAR site which includes age (adult/juvenile), species information if the specimen was an adult and biomass. Soil chemistry of carbon and nitrogen (further methods described below)</w:t>
      </w:r>
    </w:p>
    <w:p w14:paraId="3A1978E7" w14:textId="77777777" w:rsidR="00113C31" w:rsidRDefault="00113C3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61C1E7D1" w14:textId="1E4FEED2"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Worm count 2019</w:t>
      </w:r>
      <w:r w:rsidR="00113C31">
        <w:rPr>
          <w:rFonts w:ascii="Courier New" w:eastAsia="Times New Roman" w:hAnsi="Courier New" w:cs="Courier New"/>
          <w:noProof w:val="0"/>
          <w:color w:val="000000"/>
          <w:kern w:val="0"/>
          <w:sz w:val="20"/>
          <w:szCs w:val="20"/>
          <w:lang w:eastAsia="en-GB"/>
          <w14:ligatures w14:val="none"/>
        </w:rPr>
        <w:t xml:space="preserve"> – Earthworm count of the CEDAR data collection in 2019. Also included is soil carbon and nitrogen data (more information in methods below)</w:t>
      </w:r>
    </w:p>
    <w:p w14:paraId="6D76A6B0" w14:textId="77777777" w:rsidR="00113C31" w:rsidRDefault="00113C3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254E4416" w14:textId="35A997A8"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Worms 2020</w:t>
      </w:r>
      <w:r w:rsidR="00113C31">
        <w:rPr>
          <w:rFonts w:ascii="Courier New" w:eastAsia="Times New Roman" w:hAnsi="Courier New" w:cs="Courier New"/>
          <w:noProof w:val="0"/>
          <w:color w:val="000000"/>
          <w:kern w:val="0"/>
          <w:sz w:val="20"/>
          <w:szCs w:val="20"/>
          <w:lang w:eastAsia="en-GB"/>
          <w14:ligatures w14:val="none"/>
        </w:rPr>
        <w:t xml:space="preserve"> – </w:t>
      </w:r>
      <w:r w:rsidR="00BB4792">
        <w:rPr>
          <w:rFonts w:ascii="Courier New" w:eastAsia="Times New Roman" w:hAnsi="Courier New" w:cs="Courier New"/>
          <w:noProof w:val="0"/>
          <w:color w:val="000000"/>
          <w:kern w:val="0"/>
          <w:sz w:val="20"/>
          <w:szCs w:val="20"/>
          <w:lang w:eastAsia="en-GB"/>
          <w14:ligatures w14:val="none"/>
        </w:rPr>
        <w:t>earth</w:t>
      </w:r>
      <w:r w:rsidR="00113C31">
        <w:rPr>
          <w:rFonts w:ascii="Courier New" w:eastAsia="Times New Roman" w:hAnsi="Courier New" w:cs="Courier New"/>
          <w:noProof w:val="0"/>
          <w:color w:val="000000"/>
          <w:kern w:val="0"/>
          <w:sz w:val="20"/>
          <w:szCs w:val="20"/>
          <w:lang w:eastAsia="en-GB"/>
          <w14:ligatures w14:val="none"/>
        </w:rPr>
        <w:t>worm count and biomass of the earthworms sampled at the Sonning sites in spring 2020. Further information in methods below</w:t>
      </w:r>
    </w:p>
    <w:p w14:paraId="704A14A6" w14:textId="77777777" w:rsidR="00113C31" w:rsidRDefault="00113C3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5C59ACBE" w14:textId="4ACE571D"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Tullgren 2019</w:t>
      </w:r>
      <w:r w:rsidR="00113C31">
        <w:rPr>
          <w:rFonts w:ascii="Courier New" w:eastAsia="Times New Roman" w:hAnsi="Courier New" w:cs="Courier New"/>
          <w:noProof w:val="0"/>
          <w:color w:val="000000"/>
          <w:kern w:val="0"/>
          <w:sz w:val="20"/>
          <w:szCs w:val="20"/>
          <w:lang w:eastAsia="en-GB"/>
          <w14:ligatures w14:val="none"/>
        </w:rPr>
        <w:t xml:space="preserve"> – Results from the Tullgren funnels from the CEDAR site with samples collected in </w:t>
      </w:r>
      <w:r w:rsidR="008C5363">
        <w:rPr>
          <w:rFonts w:ascii="Courier New" w:eastAsia="Times New Roman" w:hAnsi="Courier New" w:cs="Courier New"/>
          <w:noProof w:val="0"/>
          <w:color w:val="000000"/>
          <w:kern w:val="0"/>
          <w:sz w:val="20"/>
          <w:szCs w:val="20"/>
          <w:lang w:eastAsia="en-GB"/>
          <w14:ligatures w14:val="none"/>
        </w:rPr>
        <w:t>spring 2019 (further information in methods below)</w:t>
      </w:r>
    </w:p>
    <w:p w14:paraId="2F8F24DC" w14:textId="77777777" w:rsidR="00113C31" w:rsidRDefault="00113C3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7423B677" w14:textId="0357CFC1"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roofErr w:type="spellStart"/>
      <w:r>
        <w:rPr>
          <w:rFonts w:ascii="Courier New" w:eastAsia="Times New Roman" w:hAnsi="Courier New" w:cs="Courier New"/>
          <w:noProof w:val="0"/>
          <w:color w:val="000000"/>
          <w:kern w:val="0"/>
          <w:sz w:val="20"/>
          <w:szCs w:val="20"/>
          <w:lang w:eastAsia="en-GB"/>
          <w14:ligatures w14:val="none"/>
        </w:rPr>
        <w:t>Myco</w:t>
      </w:r>
      <w:proofErr w:type="spellEnd"/>
      <w:r>
        <w:rPr>
          <w:rFonts w:ascii="Courier New" w:eastAsia="Times New Roman" w:hAnsi="Courier New" w:cs="Courier New"/>
          <w:noProof w:val="0"/>
          <w:color w:val="000000"/>
          <w:kern w:val="0"/>
          <w:sz w:val="20"/>
          <w:szCs w:val="20"/>
          <w:lang w:eastAsia="en-GB"/>
          <w14:ligatures w14:val="none"/>
        </w:rPr>
        <w:t xml:space="preserve"> col 2020</w:t>
      </w:r>
      <w:r w:rsidR="008C5363">
        <w:rPr>
          <w:rFonts w:ascii="Courier New" w:eastAsia="Times New Roman" w:hAnsi="Courier New" w:cs="Courier New"/>
          <w:noProof w:val="0"/>
          <w:color w:val="000000"/>
          <w:kern w:val="0"/>
          <w:sz w:val="20"/>
          <w:szCs w:val="20"/>
          <w:lang w:eastAsia="en-GB"/>
          <w14:ligatures w14:val="none"/>
        </w:rPr>
        <w:t xml:space="preserve"> – mycorrhizal root colonisation results for the two sites at Sonning after the trap plant experiment which ran over the summer of 2020. Two trap plants per plot. Used the grid line intersect method to measure percentage root colonised (more information in methods below)</w:t>
      </w:r>
    </w:p>
    <w:p w14:paraId="0961D665" w14:textId="77777777" w:rsidR="008C5363" w:rsidRDefault="008C5363"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10844D87" w14:textId="2E9AA8CC"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roofErr w:type="spellStart"/>
      <w:r>
        <w:rPr>
          <w:rFonts w:ascii="Courier New" w:eastAsia="Times New Roman" w:hAnsi="Courier New" w:cs="Courier New"/>
          <w:noProof w:val="0"/>
          <w:color w:val="000000"/>
          <w:kern w:val="0"/>
          <w:sz w:val="20"/>
          <w:szCs w:val="20"/>
          <w:lang w:eastAsia="en-GB"/>
          <w14:ligatures w14:val="none"/>
        </w:rPr>
        <w:t>RootDNA</w:t>
      </w:r>
      <w:proofErr w:type="spellEnd"/>
      <w:r w:rsidR="00BB4792">
        <w:rPr>
          <w:rFonts w:ascii="Courier New" w:eastAsia="Times New Roman" w:hAnsi="Courier New" w:cs="Courier New"/>
          <w:noProof w:val="0"/>
          <w:color w:val="000000"/>
          <w:kern w:val="0"/>
          <w:sz w:val="20"/>
          <w:szCs w:val="20"/>
          <w:lang w:eastAsia="en-GB"/>
          <w14:ligatures w14:val="none"/>
        </w:rPr>
        <w:t xml:space="preserve"> – root mycorrhizal fungi DNA for the Sonning dry site only. Also included are other soil parameters of moisture, pH, phosphorus, potassium, organic matter, nitrogen, carbon, earthworm biomass, aboveground biomass, arbuscular mycorrhizal colonisation and results from the </w:t>
      </w:r>
      <w:proofErr w:type="spellStart"/>
      <w:r w:rsidR="00BB4792">
        <w:rPr>
          <w:rFonts w:ascii="Courier New" w:eastAsia="Times New Roman" w:hAnsi="Courier New" w:cs="Courier New"/>
          <w:noProof w:val="0"/>
          <w:color w:val="000000"/>
          <w:kern w:val="0"/>
          <w:sz w:val="20"/>
          <w:szCs w:val="20"/>
          <w:lang w:eastAsia="en-GB"/>
          <w14:ligatures w14:val="none"/>
        </w:rPr>
        <w:t>microresp</w:t>
      </w:r>
      <w:proofErr w:type="spellEnd"/>
      <w:r w:rsidR="00BB4792">
        <w:rPr>
          <w:rFonts w:ascii="Courier New" w:eastAsia="Times New Roman" w:hAnsi="Courier New" w:cs="Courier New"/>
          <w:noProof w:val="0"/>
          <w:color w:val="000000"/>
          <w:kern w:val="0"/>
          <w:sz w:val="20"/>
          <w:szCs w:val="20"/>
          <w:lang w:eastAsia="en-GB"/>
          <w14:ligatures w14:val="none"/>
        </w:rPr>
        <w:t xml:space="preserve"> experiment. (further information in methods below)</w:t>
      </w:r>
    </w:p>
    <w:p w14:paraId="719ED4C8" w14:textId="77777777" w:rsidR="00BB4792" w:rsidRDefault="00BB4792"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39E9ED1D" w14:textId="1413BF4C"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roofErr w:type="spellStart"/>
      <w:r>
        <w:rPr>
          <w:rFonts w:ascii="Courier New" w:eastAsia="Times New Roman" w:hAnsi="Courier New" w:cs="Courier New"/>
          <w:noProof w:val="0"/>
          <w:color w:val="000000"/>
          <w:kern w:val="0"/>
          <w:sz w:val="20"/>
          <w:szCs w:val="20"/>
          <w:lang w:eastAsia="en-GB"/>
          <w14:ligatures w14:val="none"/>
        </w:rPr>
        <w:t>SoilDNA</w:t>
      </w:r>
      <w:proofErr w:type="spellEnd"/>
      <w:r w:rsidR="00BB4792">
        <w:rPr>
          <w:rFonts w:ascii="Courier New" w:eastAsia="Times New Roman" w:hAnsi="Courier New" w:cs="Courier New"/>
          <w:noProof w:val="0"/>
          <w:color w:val="000000"/>
          <w:kern w:val="0"/>
          <w:sz w:val="20"/>
          <w:szCs w:val="20"/>
          <w:lang w:eastAsia="en-GB"/>
          <w14:ligatures w14:val="none"/>
        </w:rPr>
        <w:t xml:space="preserve"> – soil fungi DNA results for the two Sonning sites. Also included are other soil parameters of moisture, pH, phosphorus, potassium, organic matter, nitrogen, carbon, root biomass and root surface area (ww site </w:t>
      </w:r>
      <w:r w:rsidR="00BB4792">
        <w:rPr>
          <w:rFonts w:ascii="Courier New" w:eastAsia="Times New Roman" w:hAnsi="Courier New" w:cs="Courier New"/>
          <w:noProof w:val="0"/>
          <w:color w:val="000000"/>
          <w:kern w:val="0"/>
          <w:sz w:val="20"/>
          <w:szCs w:val="20"/>
          <w:lang w:eastAsia="en-GB"/>
          <w14:ligatures w14:val="none"/>
        </w:rPr>
        <w:lastRenderedPageBreak/>
        <w:t>only), earthworm biomass, aboveground biomass and arbuscular mycorrhizal colonisation. (further information in methods below)</w:t>
      </w:r>
    </w:p>
    <w:p w14:paraId="7CC3C414" w14:textId="77777777" w:rsidR="00BB4792" w:rsidRDefault="00BB4792"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48A732D8" w14:textId="226D2825" w:rsidR="007370CE"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Pr>
          <w:rFonts w:ascii="Courier New" w:eastAsia="Times New Roman" w:hAnsi="Courier New" w:cs="Courier New"/>
          <w:noProof w:val="0"/>
          <w:color w:val="000000"/>
          <w:kern w:val="0"/>
          <w:sz w:val="20"/>
          <w:szCs w:val="20"/>
          <w:lang w:eastAsia="en-GB"/>
          <w14:ligatures w14:val="none"/>
        </w:rPr>
        <w:t>AG Biomass</w:t>
      </w:r>
      <w:r w:rsidR="00BB4792">
        <w:rPr>
          <w:rFonts w:ascii="Courier New" w:eastAsia="Times New Roman" w:hAnsi="Courier New" w:cs="Courier New"/>
          <w:noProof w:val="0"/>
          <w:color w:val="000000"/>
          <w:kern w:val="0"/>
          <w:sz w:val="20"/>
          <w:szCs w:val="20"/>
          <w:lang w:eastAsia="en-GB"/>
          <w14:ligatures w14:val="none"/>
        </w:rPr>
        <w:t xml:space="preserve"> – aboveground biomass results for the two farms used in the study (further information in methods below)</w:t>
      </w:r>
    </w:p>
    <w:p w14:paraId="32E18C61" w14:textId="77777777" w:rsidR="007370CE" w:rsidRPr="00554DB1" w:rsidRDefault="007370CE"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5D75E780"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p>
    <w:p w14:paraId="0F3F01CE"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5. METHODS</w:t>
      </w:r>
    </w:p>
    <w:p w14:paraId="7F34E950" w14:textId="77777777" w:rsidR="00554DB1" w:rsidRPr="00554DB1" w:rsidRDefault="00554DB1" w:rsidP="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val="0"/>
          <w:color w:val="000000"/>
          <w:kern w:val="0"/>
          <w:sz w:val="20"/>
          <w:szCs w:val="20"/>
          <w:lang w:eastAsia="en-GB"/>
          <w14:ligatures w14:val="none"/>
        </w:rPr>
      </w:pPr>
      <w:r w:rsidRPr="00554DB1">
        <w:rPr>
          <w:rFonts w:ascii="Courier New" w:eastAsia="Times New Roman" w:hAnsi="Courier New" w:cs="Courier New"/>
          <w:noProof w:val="0"/>
          <w:color w:val="000000"/>
          <w:kern w:val="0"/>
          <w:sz w:val="20"/>
          <w:szCs w:val="20"/>
          <w:lang w:eastAsia="en-GB"/>
          <w14:ligatures w14:val="none"/>
        </w:rPr>
        <w:t>-----------</w:t>
      </w:r>
    </w:p>
    <w:p w14:paraId="7F40EFDC" w14:textId="0FA70E1E" w:rsidR="008D0EFE" w:rsidRPr="008D0EFE" w:rsidRDefault="008D0EFE" w:rsidP="00ED34E1">
      <w:pPr>
        <w:rPr>
          <w:rFonts w:ascii="Courier New" w:hAnsi="Courier New" w:cs="Courier New"/>
          <w:lang w:eastAsia="en-GB"/>
        </w:rPr>
      </w:pPr>
    </w:p>
    <w:p w14:paraId="793ECD72" w14:textId="77777777" w:rsidR="008D0EFE" w:rsidRPr="008D0EFE" w:rsidRDefault="008D0EFE" w:rsidP="008D0EFE">
      <w:pPr>
        <w:rPr>
          <w:rFonts w:ascii="Courier New" w:hAnsi="Courier New" w:cs="Courier New"/>
        </w:rPr>
      </w:pPr>
      <w:r w:rsidRPr="008D0EFE">
        <w:rPr>
          <w:rFonts w:ascii="Courier New" w:hAnsi="Courier New" w:cs="Courier New"/>
        </w:rPr>
        <w:t>Forage mixture</w:t>
      </w:r>
    </w:p>
    <w:p w14:paraId="6B853B6C" w14:textId="0E942492" w:rsidR="008D0EFE" w:rsidRPr="008D0EFE" w:rsidRDefault="008D0EFE" w:rsidP="00ED34E1">
      <w:pPr>
        <w:rPr>
          <w:rFonts w:ascii="Courier New" w:hAnsi="Courier New" w:cs="Courier New"/>
        </w:rPr>
      </w:pPr>
      <w:r w:rsidRPr="008D0EFE">
        <w:rPr>
          <w:rFonts w:ascii="Courier New" w:hAnsi="Courier New" w:cs="Courier New"/>
        </w:rPr>
        <w:t>Forage mixtures were sown in September 2016 at two farms belonging to the University of Reading: Centre for Dairy Research (CEDAR) and Crops Research Unit (CRU). Mixtures ranged from a single species perennial ryegrass (</w:t>
      </w:r>
      <w:r w:rsidRPr="008D0EFE">
        <w:rPr>
          <w:rFonts w:ascii="Courier New" w:hAnsi="Courier New" w:cs="Courier New"/>
          <w:i/>
          <w:iCs/>
        </w:rPr>
        <w:t>Lolium perenne</w:t>
      </w:r>
      <w:r w:rsidRPr="008D0EFE">
        <w:rPr>
          <w:rFonts w:ascii="Courier New" w:hAnsi="Courier New" w:cs="Courier New"/>
        </w:rPr>
        <w:t xml:space="preserve">) to three diverse forage mixtures of increasing species richness: SmartGrass (6), Biomix (12), and Herbal (17 species). </w:t>
      </w:r>
      <w:r w:rsidRPr="008D0EFE">
        <w:rPr>
          <w:rFonts w:ascii="Courier New" w:hAnsi="Courier New" w:cs="Courier New"/>
          <w:lang w:eastAsia="en-GB"/>
        </w:rPr>
        <w:t>Perennial ryegrass plots received the recommended 250kg/ha N (as ammonium nitrate), divided into four application timings annually: two at 75kg/ha N and two at 50kg/ha N. Diverse species mixture plots received no nitrogen fertiliser.</w:t>
      </w:r>
      <w:bookmarkStart w:id="2" w:name="_Ref67578813"/>
    </w:p>
    <w:p w14:paraId="71459D3C" w14:textId="77777777" w:rsidR="008D0EFE" w:rsidRPr="008D0EFE" w:rsidRDefault="008D0EFE" w:rsidP="008D0EFE">
      <w:pPr>
        <w:rPr>
          <w:rFonts w:ascii="Courier New" w:hAnsi="Courier New" w:cs="Courier New"/>
        </w:rPr>
      </w:pPr>
    </w:p>
    <w:p w14:paraId="16AE0282" w14:textId="6C4D8E8C" w:rsidR="008D0EFE" w:rsidRPr="008D0EFE" w:rsidRDefault="008D0EFE" w:rsidP="008D0EFE">
      <w:pPr>
        <w:rPr>
          <w:rFonts w:ascii="Courier New" w:hAnsi="Courier New" w:cs="Courier New"/>
        </w:rPr>
      </w:pPr>
      <w:bookmarkStart w:id="3" w:name="_Ref83043403"/>
      <w:bookmarkStart w:id="4" w:name="_Toc151117529"/>
      <w:r w:rsidRPr="008D0EFE">
        <w:rPr>
          <w:rFonts w:ascii="Courier New" w:hAnsi="Courier New" w:cs="Courier New"/>
        </w:rPr>
        <w:t xml:space="preserve">Table </w:t>
      </w:r>
      <w:bookmarkEnd w:id="2"/>
      <w:bookmarkEnd w:id="3"/>
      <w:r w:rsidR="0071229A">
        <w:rPr>
          <w:rFonts w:ascii="Courier New" w:hAnsi="Courier New" w:cs="Courier New"/>
        </w:rPr>
        <w:t>2</w:t>
      </w:r>
      <w:r w:rsidRPr="008D0EFE">
        <w:rPr>
          <w:rFonts w:ascii="Courier New" w:hAnsi="Courier New" w:cs="Courier New"/>
        </w:rPr>
        <w:t xml:space="preserve"> Diverse forage mixture species selection list (PRG: Ryegrass; SG: SmartGrass; Bio: Biomix; Her: Herbal) sown September 2016 at</w:t>
      </w:r>
      <w:r w:rsidRPr="008D0EFE">
        <w:rPr>
          <w:rFonts w:ascii="Courier New" w:hAnsi="Courier New" w:cs="Courier New"/>
          <w:lang w:eastAsia="en-GB"/>
        </w:rPr>
        <w:t xml:space="preserve"> the </w:t>
      </w:r>
      <w:r w:rsidRPr="008D0EFE">
        <w:rPr>
          <w:rFonts w:ascii="Courier New" w:hAnsi="Courier New" w:cs="Courier New"/>
        </w:rPr>
        <w:t xml:space="preserve">University of Reading Centre for Dairy Research, Berkshire and </w:t>
      </w:r>
      <w:r w:rsidRPr="008D0EFE">
        <w:rPr>
          <w:rFonts w:ascii="Courier New" w:hAnsi="Courier New" w:cs="Courier New"/>
          <w:lang w:eastAsia="en-GB"/>
        </w:rPr>
        <w:t>University of Reading Crops Research Unit Farm, Berkshire. R</w:t>
      </w:r>
      <w:r w:rsidRPr="008D0EFE">
        <w:rPr>
          <w:rFonts w:ascii="Courier New" w:hAnsi="Courier New" w:cs="Courier New"/>
        </w:rPr>
        <w:t>yegrass received 250kg N/ha (as ammonium nitrate), divided into four application timings across the year: two at 75kg/ha N and two at 50kg/ha N. Diverse mixtures receive no nitrogen fertiliser</w:t>
      </w:r>
      <w:bookmarkEnd w:id="4"/>
    </w:p>
    <w:tbl>
      <w:tblPr>
        <w:tblStyle w:val="TableGrid"/>
        <w:tblW w:w="7849" w:type="dxa"/>
        <w:tblLayout w:type="fixed"/>
        <w:tblLook w:val="04A0" w:firstRow="1" w:lastRow="0" w:firstColumn="1" w:lastColumn="0" w:noHBand="0" w:noVBand="1"/>
      </w:tblPr>
      <w:tblGrid>
        <w:gridCol w:w="2150"/>
        <w:gridCol w:w="3156"/>
        <w:gridCol w:w="723"/>
        <w:gridCol w:w="641"/>
        <w:gridCol w:w="563"/>
        <w:gridCol w:w="616"/>
      </w:tblGrid>
      <w:tr w:rsidR="008D0EFE" w:rsidRPr="008D0EFE" w14:paraId="5D32D821" w14:textId="77777777" w:rsidTr="00A12E42">
        <w:trPr>
          <w:trHeight w:val="169"/>
        </w:trPr>
        <w:tc>
          <w:tcPr>
            <w:tcW w:w="5306" w:type="dxa"/>
            <w:gridSpan w:val="2"/>
            <w:tcBorders>
              <w:top w:val="single" w:sz="4" w:space="0" w:color="auto"/>
              <w:left w:val="nil"/>
              <w:bottom w:val="single" w:sz="4" w:space="0" w:color="auto"/>
              <w:right w:val="nil"/>
            </w:tcBorders>
          </w:tcPr>
          <w:p w14:paraId="2CA2E482" w14:textId="77777777" w:rsidR="008D0EFE" w:rsidRPr="008D0EFE" w:rsidRDefault="008D0EFE" w:rsidP="008D0EFE">
            <w:pPr>
              <w:rPr>
                <w:rFonts w:ascii="Courier New" w:eastAsia="Calibri" w:hAnsi="Courier New" w:cs="Courier New"/>
                <w:b/>
                <w:sz w:val="24"/>
                <w:szCs w:val="24"/>
              </w:rPr>
            </w:pPr>
            <w:r w:rsidRPr="008D0EFE">
              <w:rPr>
                <w:rFonts w:ascii="Courier New" w:eastAsia="Calibri" w:hAnsi="Courier New" w:cs="Courier New"/>
                <w:b/>
                <w:sz w:val="24"/>
                <w:szCs w:val="24"/>
              </w:rPr>
              <w:t>Species</w:t>
            </w:r>
          </w:p>
        </w:tc>
        <w:tc>
          <w:tcPr>
            <w:tcW w:w="723" w:type="dxa"/>
            <w:tcBorders>
              <w:top w:val="single" w:sz="4" w:space="0" w:color="auto"/>
              <w:left w:val="nil"/>
              <w:bottom w:val="single" w:sz="4" w:space="0" w:color="auto"/>
              <w:right w:val="nil"/>
            </w:tcBorders>
          </w:tcPr>
          <w:p w14:paraId="00251A4F" w14:textId="77777777" w:rsidR="008D0EFE" w:rsidRPr="008D0EFE" w:rsidRDefault="008D0EFE" w:rsidP="008D0EFE">
            <w:pPr>
              <w:rPr>
                <w:rFonts w:ascii="Courier New" w:eastAsia="Calibri" w:hAnsi="Courier New" w:cs="Courier New"/>
                <w:b/>
                <w:sz w:val="24"/>
                <w:szCs w:val="24"/>
              </w:rPr>
            </w:pPr>
            <w:r w:rsidRPr="008D0EFE">
              <w:rPr>
                <w:rFonts w:ascii="Courier New" w:eastAsia="Calibri" w:hAnsi="Courier New" w:cs="Courier New"/>
                <w:b/>
                <w:sz w:val="24"/>
                <w:szCs w:val="24"/>
              </w:rPr>
              <w:t>PRG</w:t>
            </w:r>
          </w:p>
        </w:tc>
        <w:tc>
          <w:tcPr>
            <w:tcW w:w="641" w:type="dxa"/>
            <w:tcBorders>
              <w:top w:val="single" w:sz="4" w:space="0" w:color="auto"/>
              <w:left w:val="nil"/>
              <w:bottom w:val="single" w:sz="4" w:space="0" w:color="auto"/>
              <w:right w:val="nil"/>
            </w:tcBorders>
          </w:tcPr>
          <w:p w14:paraId="2A6EFC54" w14:textId="77777777" w:rsidR="008D0EFE" w:rsidRPr="008D0EFE" w:rsidRDefault="008D0EFE" w:rsidP="008D0EFE">
            <w:pPr>
              <w:rPr>
                <w:rFonts w:ascii="Courier New" w:eastAsia="Calibri" w:hAnsi="Courier New" w:cs="Courier New"/>
                <w:b/>
                <w:sz w:val="24"/>
                <w:szCs w:val="24"/>
              </w:rPr>
            </w:pPr>
            <w:r w:rsidRPr="008D0EFE">
              <w:rPr>
                <w:rFonts w:ascii="Courier New" w:eastAsia="Calibri" w:hAnsi="Courier New" w:cs="Courier New"/>
                <w:b/>
                <w:sz w:val="24"/>
                <w:szCs w:val="24"/>
              </w:rPr>
              <w:t>SG</w:t>
            </w:r>
          </w:p>
        </w:tc>
        <w:tc>
          <w:tcPr>
            <w:tcW w:w="563" w:type="dxa"/>
            <w:tcBorders>
              <w:top w:val="single" w:sz="4" w:space="0" w:color="auto"/>
              <w:left w:val="nil"/>
              <w:bottom w:val="single" w:sz="4" w:space="0" w:color="auto"/>
              <w:right w:val="nil"/>
            </w:tcBorders>
          </w:tcPr>
          <w:p w14:paraId="7ED2DBC2" w14:textId="77777777" w:rsidR="008D0EFE" w:rsidRPr="008D0EFE" w:rsidRDefault="008D0EFE" w:rsidP="008D0EFE">
            <w:pPr>
              <w:rPr>
                <w:rFonts w:ascii="Courier New" w:eastAsia="Calibri" w:hAnsi="Courier New" w:cs="Courier New"/>
                <w:b/>
                <w:sz w:val="24"/>
                <w:szCs w:val="24"/>
              </w:rPr>
            </w:pPr>
            <w:r w:rsidRPr="008D0EFE">
              <w:rPr>
                <w:rFonts w:ascii="Courier New" w:eastAsia="Calibri" w:hAnsi="Courier New" w:cs="Courier New"/>
                <w:b/>
                <w:sz w:val="24"/>
                <w:szCs w:val="24"/>
              </w:rPr>
              <w:t>Bio</w:t>
            </w:r>
          </w:p>
        </w:tc>
        <w:tc>
          <w:tcPr>
            <w:tcW w:w="616" w:type="dxa"/>
            <w:tcBorders>
              <w:top w:val="single" w:sz="4" w:space="0" w:color="auto"/>
              <w:left w:val="nil"/>
              <w:bottom w:val="single" w:sz="4" w:space="0" w:color="auto"/>
              <w:right w:val="nil"/>
            </w:tcBorders>
          </w:tcPr>
          <w:p w14:paraId="7A45A75F" w14:textId="77777777" w:rsidR="008D0EFE" w:rsidRPr="008D0EFE" w:rsidRDefault="008D0EFE" w:rsidP="008D0EFE">
            <w:pPr>
              <w:rPr>
                <w:rFonts w:ascii="Courier New" w:eastAsia="Calibri" w:hAnsi="Courier New" w:cs="Courier New"/>
                <w:b/>
                <w:sz w:val="24"/>
                <w:szCs w:val="24"/>
              </w:rPr>
            </w:pPr>
            <w:r w:rsidRPr="008D0EFE">
              <w:rPr>
                <w:rFonts w:ascii="Courier New" w:eastAsia="Calibri" w:hAnsi="Courier New" w:cs="Courier New"/>
                <w:b/>
                <w:sz w:val="24"/>
                <w:szCs w:val="24"/>
              </w:rPr>
              <w:t>Her</w:t>
            </w:r>
          </w:p>
        </w:tc>
      </w:tr>
      <w:tr w:rsidR="008D0EFE" w:rsidRPr="008D0EFE" w14:paraId="51FB16D1" w14:textId="77777777" w:rsidTr="00A12E42">
        <w:trPr>
          <w:cantSplit/>
          <w:trHeight w:val="177"/>
        </w:trPr>
        <w:tc>
          <w:tcPr>
            <w:tcW w:w="2150" w:type="dxa"/>
            <w:tcBorders>
              <w:top w:val="single" w:sz="4" w:space="0" w:color="auto"/>
              <w:left w:val="nil"/>
              <w:bottom w:val="nil"/>
              <w:right w:val="nil"/>
            </w:tcBorders>
          </w:tcPr>
          <w:p w14:paraId="029A4422"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Perennial Ryegrass</w:t>
            </w:r>
          </w:p>
        </w:tc>
        <w:tc>
          <w:tcPr>
            <w:tcW w:w="3156" w:type="dxa"/>
            <w:tcBorders>
              <w:top w:val="single" w:sz="4" w:space="0" w:color="auto"/>
              <w:left w:val="nil"/>
              <w:bottom w:val="nil"/>
              <w:right w:val="nil"/>
            </w:tcBorders>
          </w:tcPr>
          <w:p w14:paraId="73346D2B"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 xml:space="preserve">Lolium perenne </w:t>
            </w:r>
            <w:r w:rsidRPr="008D0EFE">
              <w:rPr>
                <w:rFonts w:ascii="Courier New" w:eastAsia="Calibri" w:hAnsi="Courier New" w:cs="Courier New"/>
                <w:sz w:val="24"/>
                <w:szCs w:val="24"/>
              </w:rPr>
              <w:t>L.</w:t>
            </w:r>
          </w:p>
        </w:tc>
        <w:tc>
          <w:tcPr>
            <w:tcW w:w="723" w:type="dxa"/>
            <w:tcBorders>
              <w:top w:val="single" w:sz="4" w:space="0" w:color="auto"/>
              <w:left w:val="nil"/>
              <w:bottom w:val="nil"/>
              <w:right w:val="nil"/>
            </w:tcBorders>
          </w:tcPr>
          <w:p w14:paraId="3D4CF9E4"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41" w:type="dxa"/>
            <w:tcBorders>
              <w:top w:val="single" w:sz="4" w:space="0" w:color="auto"/>
              <w:left w:val="nil"/>
              <w:bottom w:val="nil"/>
              <w:right w:val="nil"/>
            </w:tcBorders>
          </w:tcPr>
          <w:p w14:paraId="4D1B868E"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563" w:type="dxa"/>
            <w:tcBorders>
              <w:top w:val="single" w:sz="4" w:space="0" w:color="auto"/>
              <w:left w:val="nil"/>
              <w:bottom w:val="nil"/>
              <w:right w:val="nil"/>
            </w:tcBorders>
          </w:tcPr>
          <w:p w14:paraId="3405D08D" w14:textId="77777777" w:rsidR="008D0EFE" w:rsidRPr="008D0EFE" w:rsidRDefault="008D0EFE" w:rsidP="008D0EFE">
            <w:pPr>
              <w:rPr>
                <w:rFonts w:ascii="Courier New" w:eastAsia="Calibri" w:hAnsi="Courier New" w:cs="Courier New"/>
                <w:i/>
                <w:sz w:val="24"/>
                <w:szCs w:val="24"/>
              </w:rPr>
            </w:pPr>
            <w:r w:rsidRPr="008D0EFE">
              <w:rPr>
                <w:rFonts w:ascii="Courier New" w:eastAsia="Calibri" w:hAnsi="Courier New" w:cs="Courier New"/>
                <w:sz w:val="24"/>
                <w:szCs w:val="24"/>
              </w:rPr>
              <w:sym w:font="Wingdings" w:char="F0FC"/>
            </w:r>
          </w:p>
        </w:tc>
        <w:tc>
          <w:tcPr>
            <w:tcW w:w="616" w:type="dxa"/>
            <w:tcBorders>
              <w:top w:val="single" w:sz="4" w:space="0" w:color="auto"/>
              <w:left w:val="nil"/>
              <w:bottom w:val="nil"/>
              <w:right w:val="nil"/>
            </w:tcBorders>
          </w:tcPr>
          <w:p w14:paraId="5E1E7854" w14:textId="77777777" w:rsidR="008D0EFE" w:rsidRPr="008D0EFE" w:rsidRDefault="008D0EFE" w:rsidP="008D0EFE">
            <w:pPr>
              <w:rPr>
                <w:rFonts w:ascii="Courier New" w:eastAsia="Calibri" w:hAnsi="Courier New" w:cs="Courier New"/>
                <w:i/>
                <w:sz w:val="24"/>
                <w:szCs w:val="24"/>
              </w:rPr>
            </w:pPr>
            <w:r w:rsidRPr="008D0EFE">
              <w:rPr>
                <w:rFonts w:ascii="Courier New" w:eastAsia="Calibri" w:hAnsi="Courier New" w:cs="Courier New"/>
                <w:sz w:val="24"/>
                <w:szCs w:val="24"/>
              </w:rPr>
              <w:sym w:font="Wingdings" w:char="F0FC"/>
            </w:r>
          </w:p>
        </w:tc>
      </w:tr>
      <w:tr w:rsidR="008D0EFE" w:rsidRPr="008D0EFE" w14:paraId="626D502D" w14:textId="77777777" w:rsidTr="00A12E42">
        <w:tc>
          <w:tcPr>
            <w:tcW w:w="2150" w:type="dxa"/>
            <w:tcBorders>
              <w:top w:val="nil"/>
              <w:left w:val="nil"/>
              <w:bottom w:val="nil"/>
              <w:right w:val="nil"/>
            </w:tcBorders>
          </w:tcPr>
          <w:p w14:paraId="28A723C6"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Timothy</w:t>
            </w:r>
          </w:p>
        </w:tc>
        <w:tc>
          <w:tcPr>
            <w:tcW w:w="3156" w:type="dxa"/>
            <w:tcBorders>
              <w:top w:val="nil"/>
              <w:left w:val="nil"/>
              <w:bottom w:val="nil"/>
              <w:right w:val="nil"/>
            </w:tcBorders>
          </w:tcPr>
          <w:p w14:paraId="2F142039"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Phleum pratense</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3224F483"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4EC51C35"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563" w:type="dxa"/>
            <w:tcBorders>
              <w:top w:val="nil"/>
              <w:left w:val="nil"/>
              <w:bottom w:val="nil"/>
              <w:right w:val="nil"/>
            </w:tcBorders>
          </w:tcPr>
          <w:p w14:paraId="7AD7F631"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4A0CA6F1"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1427BF48" w14:textId="77777777" w:rsidTr="00A12E42">
        <w:tc>
          <w:tcPr>
            <w:tcW w:w="2150" w:type="dxa"/>
            <w:tcBorders>
              <w:top w:val="nil"/>
              <w:left w:val="nil"/>
              <w:bottom w:val="nil"/>
              <w:right w:val="nil"/>
            </w:tcBorders>
          </w:tcPr>
          <w:p w14:paraId="16A9CC61"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Cocksfoot</w:t>
            </w:r>
          </w:p>
        </w:tc>
        <w:tc>
          <w:tcPr>
            <w:tcW w:w="3156" w:type="dxa"/>
            <w:tcBorders>
              <w:top w:val="nil"/>
              <w:left w:val="nil"/>
              <w:bottom w:val="nil"/>
              <w:right w:val="nil"/>
            </w:tcBorders>
          </w:tcPr>
          <w:p w14:paraId="0B126CA6"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Dactylis glomerata</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5CDED3C0"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6B6E5679"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02F8451D"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09802568"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7A49B2A2" w14:textId="77777777" w:rsidTr="00A12E42">
        <w:tc>
          <w:tcPr>
            <w:tcW w:w="2150" w:type="dxa"/>
            <w:tcBorders>
              <w:top w:val="nil"/>
              <w:left w:val="nil"/>
              <w:bottom w:val="nil"/>
              <w:right w:val="nil"/>
            </w:tcBorders>
          </w:tcPr>
          <w:p w14:paraId="53E1F5FA"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Festulolium</w:t>
            </w:r>
          </w:p>
        </w:tc>
        <w:tc>
          <w:tcPr>
            <w:tcW w:w="3156" w:type="dxa"/>
            <w:tcBorders>
              <w:top w:val="nil"/>
              <w:left w:val="nil"/>
              <w:bottom w:val="nil"/>
              <w:right w:val="nil"/>
            </w:tcBorders>
          </w:tcPr>
          <w:p w14:paraId="1EA657B2"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w:t>
            </w:r>
          </w:p>
        </w:tc>
        <w:tc>
          <w:tcPr>
            <w:tcW w:w="723" w:type="dxa"/>
            <w:tcBorders>
              <w:top w:val="nil"/>
              <w:left w:val="nil"/>
              <w:bottom w:val="nil"/>
              <w:right w:val="nil"/>
            </w:tcBorders>
          </w:tcPr>
          <w:p w14:paraId="6E7EF79E"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17EE4BD5"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2BDFDF5B"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468869A5"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662A5544" w14:textId="77777777" w:rsidTr="00A12E42">
        <w:tc>
          <w:tcPr>
            <w:tcW w:w="2150" w:type="dxa"/>
            <w:tcBorders>
              <w:top w:val="nil"/>
              <w:left w:val="nil"/>
              <w:bottom w:val="nil"/>
              <w:right w:val="nil"/>
            </w:tcBorders>
          </w:tcPr>
          <w:p w14:paraId="7856ECEE"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Tall Fescue</w:t>
            </w:r>
          </w:p>
        </w:tc>
        <w:tc>
          <w:tcPr>
            <w:tcW w:w="3156" w:type="dxa"/>
            <w:tcBorders>
              <w:top w:val="nil"/>
              <w:left w:val="nil"/>
              <w:bottom w:val="nil"/>
              <w:right w:val="nil"/>
            </w:tcBorders>
          </w:tcPr>
          <w:p w14:paraId="39CC5EDF"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Festuca arundinacea</w:t>
            </w:r>
            <w:r w:rsidRPr="008D0EFE">
              <w:rPr>
                <w:rFonts w:ascii="Courier New" w:eastAsia="Calibri" w:hAnsi="Courier New" w:cs="Courier New"/>
                <w:sz w:val="24"/>
                <w:szCs w:val="24"/>
              </w:rPr>
              <w:t xml:space="preserve"> Schreb.</w:t>
            </w:r>
          </w:p>
        </w:tc>
        <w:tc>
          <w:tcPr>
            <w:tcW w:w="723" w:type="dxa"/>
            <w:tcBorders>
              <w:top w:val="nil"/>
              <w:left w:val="nil"/>
              <w:bottom w:val="nil"/>
              <w:right w:val="nil"/>
            </w:tcBorders>
          </w:tcPr>
          <w:p w14:paraId="706066F4"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3D5A8598"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54C3E1DF" w14:textId="77777777" w:rsidR="008D0EFE" w:rsidRPr="008D0EFE" w:rsidRDefault="008D0EFE" w:rsidP="008D0EFE">
            <w:pPr>
              <w:rPr>
                <w:rFonts w:ascii="Courier New" w:eastAsia="Calibri" w:hAnsi="Courier New" w:cs="Courier New"/>
                <w:sz w:val="24"/>
                <w:szCs w:val="24"/>
              </w:rPr>
            </w:pPr>
          </w:p>
        </w:tc>
        <w:tc>
          <w:tcPr>
            <w:tcW w:w="616" w:type="dxa"/>
            <w:tcBorders>
              <w:top w:val="nil"/>
              <w:left w:val="nil"/>
              <w:bottom w:val="nil"/>
              <w:right w:val="nil"/>
            </w:tcBorders>
          </w:tcPr>
          <w:p w14:paraId="79BD170D"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64A5967D" w14:textId="77777777" w:rsidTr="00A12E42">
        <w:tc>
          <w:tcPr>
            <w:tcW w:w="2150" w:type="dxa"/>
            <w:tcBorders>
              <w:top w:val="nil"/>
              <w:left w:val="nil"/>
              <w:bottom w:val="nil"/>
              <w:right w:val="nil"/>
            </w:tcBorders>
          </w:tcPr>
          <w:p w14:paraId="0116022D"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Meadow Fescue</w:t>
            </w:r>
          </w:p>
        </w:tc>
        <w:tc>
          <w:tcPr>
            <w:tcW w:w="3156" w:type="dxa"/>
            <w:tcBorders>
              <w:top w:val="nil"/>
              <w:left w:val="nil"/>
              <w:bottom w:val="nil"/>
              <w:right w:val="nil"/>
            </w:tcBorders>
          </w:tcPr>
          <w:p w14:paraId="445E1E1D"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Festuca pratensis</w:t>
            </w:r>
            <w:r w:rsidRPr="008D0EFE">
              <w:rPr>
                <w:rFonts w:ascii="Courier New" w:eastAsia="Calibri" w:hAnsi="Courier New" w:cs="Courier New"/>
                <w:sz w:val="24"/>
                <w:szCs w:val="24"/>
              </w:rPr>
              <w:t xml:space="preserve"> Huds.</w:t>
            </w:r>
          </w:p>
        </w:tc>
        <w:tc>
          <w:tcPr>
            <w:tcW w:w="723" w:type="dxa"/>
            <w:tcBorders>
              <w:top w:val="nil"/>
              <w:left w:val="nil"/>
              <w:bottom w:val="nil"/>
              <w:right w:val="nil"/>
            </w:tcBorders>
          </w:tcPr>
          <w:p w14:paraId="69B606FD"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07371605"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675465D3"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2BD34FB5"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60BCD96E" w14:textId="77777777" w:rsidTr="00A12E42">
        <w:tc>
          <w:tcPr>
            <w:tcW w:w="2150" w:type="dxa"/>
            <w:tcBorders>
              <w:top w:val="nil"/>
              <w:left w:val="nil"/>
              <w:bottom w:val="nil"/>
              <w:right w:val="nil"/>
            </w:tcBorders>
          </w:tcPr>
          <w:p w14:paraId="3F8B1B0B"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Red Clover</w:t>
            </w:r>
          </w:p>
        </w:tc>
        <w:tc>
          <w:tcPr>
            <w:tcW w:w="3156" w:type="dxa"/>
            <w:tcBorders>
              <w:top w:val="nil"/>
              <w:left w:val="nil"/>
              <w:bottom w:val="nil"/>
              <w:right w:val="nil"/>
            </w:tcBorders>
          </w:tcPr>
          <w:p w14:paraId="56994279"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Trifolium pratense</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5097EEC1"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6FAF30EF"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563" w:type="dxa"/>
            <w:tcBorders>
              <w:top w:val="nil"/>
              <w:left w:val="nil"/>
              <w:bottom w:val="nil"/>
              <w:right w:val="nil"/>
            </w:tcBorders>
          </w:tcPr>
          <w:p w14:paraId="2EF54453"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124AF59A"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1C2C47D0" w14:textId="77777777" w:rsidTr="00A12E42">
        <w:tc>
          <w:tcPr>
            <w:tcW w:w="2150" w:type="dxa"/>
            <w:tcBorders>
              <w:top w:val="nil"/>
              <w:left w:val="nil"/>
              <w:bottom w:val="nil"/>
              <w:right w:val="nil"/>
            </w:tcBorders>
          </w:tcPr>
          <w:p w14:paraId="47EE2B8D"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White Clover</w:t>
            </w:r>
          </w:p>
        </w:tc>
        <w:tc>
          <w:tcPr>
            <w:tcW w:w="3156" w:type="dxa"/>
            <w:tcBorders>
              <w:top w:val="nil"/>
              <w:left w:val="nil"/>
              <w:bottom w:val="nil"/>
              <w:right w:val="nil"/>
            </w:tcBorders>
          </w:tcPr>
          <w:p w14:paraId="17098ADB"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Trifolium repens</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6420A3BC"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53365BA2"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563" w:type="dxa"/>
            <w:tcBorders>
              <w:top w:val="nil"/>
              <w:left w:val="nil"/>
              <w:bottom w:val="nil"/>
              <w:right w:val="nil"/>
            </w:tcBorders>
          </w:tcPr>
          <w:p w14:paraId="676624C0"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549CBDDA"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1E5AD86F" w14:textId="77777777" w:rsidTr="00A12E42">
        <w:tc>
          <w:tcPr>
            <w:tcW w:w="2150" w:type="dxa"/>
            <w:tcBorders>
              <w:top w:val="nil"/>
              <w:left w:val="nil"/>
              <w:bottom w:val="nil"/>
              <w:right w:val="nil"/>
            </w:tcBorders>
          </w:tcPr>
          <w:p w14:paraId="69CBB473"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Alsike Clover</w:t>
            </w:r>
          </w:p>
        </w:tc>
        <w:tc>
          <w:tcPr>
            <w:tcW w:w="3156" w:type="dxa"/>
            <w:tcBorders>
              <w:top w:val="nil"/>
              <w:left w:val="nil"/>
              <w:bottom w:val="nil"/>
              <w:right w:val="nil"/>
            </w:tcBorders>
          </w:tcPr>
          <w:p w14:paraId="46D6A154"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Trifolium hybridum</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32F7EF87"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6CACE9FA"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40991727"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4C1A0C68"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4631744D" w14:textId="77777777" w:rsidTr="00A12E42">
        <w:tc>
          <w:tcPr>
            <w:tcW w:w="2150" w:type="dxa"/>
            <w:tcBorders>
              <w:top w:val="nil"/>
              <w:left w:val="nil"/>
              <w:bottom w:val="nil"/>
              <w:right w:val="nil"/>
            </w:tcBorders>
          </w:tcPr>
          <w:p w14:paraId="1E2DEE52"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Sweet Clover</w:t>
            </w:r>
          </w:p>
        </w:tc>
        <w:tc>
          <w:tcPr>
            <w:tcW w:w="3156" w:type="dxa"/>
            <w:tcBorders>
              <w:top w:val="nil"/>
              <w:left w:val="nil"/>
              <w:bottom w:val="nil"/>
              <w:right w:val="nil"/>
            </w:tcBorders>
          </w:tcPr>
          <w:p w14:paraId="631C8B04"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Melilotus</w:t>
            </w:r>
            <w:r w:rsidRPr="008D0EFE">
              <w:rPr>
                <w:rFonts w:ascii="Courier New" w:eastAsia="Calibri" w:hAnsi="Courier New" w:cs="Courier New"/>
                <w:sz w:val="24"/>
                <w:szCs w:val="24"/>
              </w:rPr>
              <w:t xml:space="preserve"> spp.</w:t>
            </w:r>
          </w:p>
        </w:tc>
        <w:tc>
          <w:tcPr>
            <w:tcW w:w="723" w:type="dxa"/>
            <w:tcBorders>
              <w:top w:val="nil"/>
              <w:left w:val="nil"/>
              <w:bottom w:val="nil"/>
              <w:right w:val="nil"/>
            </w:tcBorders>
          </w:tcPr>
          <w:p w14:paraId="590E0061"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0931609C"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4653EC35" w14:textId="77777777" w:rsidR="008D0EFE" w:rsidRPr="008D0EFE" w:rsidRDefault="008D0EFE" w:rsidP="008D0EFE">
            <w:pPr>
              <w:rPr>
                <w:rFonts w:ascii="Courier New" w:eastAsia="Calibri" w:hAnsi="Courier New" w:cs="Courier New"/>
                <w:sz w:val="24"/>
                <w:szCs w:val="24"/>
              </w:rPr>
            </w:pPr>
          </w:p>
        </w:tc>
        <w:tc>
          <w:tcPr>
            <w:tcW w:w="616" w:type="dxa"/>
            <w:tcBorders>
              <w:top w:val="nil"/>
              <w:left w:val="nil"/>
              <w:bottom w:val="nil"/>
              <w:right w:val="nil"/>
            </w:tcBorders>
          </w:tcPr>
          <w:p w14:paraId="1C997530"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1BD34835" w14:textId="77777777" w:rsidTr="00A12E42">
        <w:tc>
          <w:tcPr>
            <w:tcW w:w="2150" w:type="dxa"/>
            <w:tcBorders>
              <w:top w:val="nil"/>
              <w:left w:val="nil"/>
              <w:bottom w:val="nil"/>
              <w:right w:val="nil"/>
            </w:tcBorders>
          </w:tcPr>
          <w:p w14:paraId="72477AD9"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Black Medick</w:t>
            </w:r>
          </w:p>
        </w:tc>
        <w:tc>
          <w:tcPr>
            <w:tcW w:w="3156" w:type="dxa"/>
            <w:tcBorders>
              <w:top w:val="nil"/>
              <w:left w:val="nil"/>
              <w:bottom w:val="nil"/>
              <w:right w:val="nil"/>
            </w:tcBorders>
          </w:tcPr>
          <w:p w14:paraId="3B40BE9C"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Medicago lupulina</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3DDD302D"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698E0F74"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09F3BE91"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66E289F4" w14:textId="77777777" w:rsidR="008D0EFE" w:rsidRPr="008D0EFE" w:rsidRDefault="008D0EFE" w:rsidP="008D0EFE">
            <w:pPr>
              <w:rPr>
                <w:rFonts w:ascii="Courier New" w:eastAsia="Calibri" w:hAnsi="Courier New" w:cs="Courier New"/>
                <w:sz w:val="24"/>
                <w:szCs w:val="24"/>
              </w:rPr>
            </w:pPr>
          </w:p>
        </w:tc>
      </w:tr>
      <w:tr w:rsidR="008D0EFE" w:rsidRPr="008D0EFE" w14:paraId="009EF020" w14:textId="77777777" w:rsidTr="00A12E42">
        <w:tc>
          <w:tcPr>
            <w:tcW w:w="2150" w:type="dxa"/>
            <w:tcBorders>
              <w:top w:val="nil"/>
              <w:left w:val="nil"/>
              <w:bottom w:val="nil"/>
              <w:right w:val="nil"/>
            </w:tcBorders>
          </w:tcPr>
          <w:p w14:paraId="1385E8AE"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Lucerne</w:t>
            </w:r>
          </w:p>
        </w:tc>
        <w:tc>
          <w:tcPr>
            <w:tcW w:w="3156" w:type="dxa"/>
            <w:tcBorders>
              <w:top w:val="nil"/>
              <w:left w:val="nil"/>
              <w:bottom w:val="nil"/>
              <w:right w:val="nil"/>
            </w:tcBorders>
          </w:tcPr>
          <w:p w14:paraId="133C235F"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Medicago sativa</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0525A3EB"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100E2EE3"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0B297D01"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51AD4E3A" w14:textId="77777777" w:rsidR="008D0EFE" w:rsidRPr="008D0EFE" w:rsidRDefault="008D0EFE" w:rsidP="008D0EFE">
            <w:pPr>
              <w:rPr>
                <w:rFonts w:ascii="Courier New" w:eastAsia="Calibri" w:hAnsi="Courier New" w:cs="Courier New"/>
                <w:sz w:val="24"/>
                <w:szCs w:val="24"/>
              </w:rPr>
            </w:pPr>
          </w:p>
        </w:tc>
      </w:tr>
      <w:tr w:rsidR="008D0EFE" w:rsidRPr="008D0EFE" w14:paraId="395C85F0" w14:textId="77777777" w:rsidTr="00A12E42">
        <w:tc>
          <w:tcPr>
            <w:tcW w:w="2150" w:type="dxa"/>
            <w:tcBorders>
              <w:top w:val="nil"/>
              <w:left w:val="nil"/>
              <w:bottom w:val="nil"/>
              <w:right w:val="nil"/>
            </w:tcBorders>
          </w:tcPr>
          <w:p w14:paraId="6C6EA210"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Sainfoin</w:t>
            </w:r>
          </w:p>
        </w:tc>
        <w:tc>
          <w:tcPr>
            <w:tcW w:w="3156" w:type="dxa"/>
            <w:tcBorders>
              <w:top w:val="nil"/>
              <w:left w:val="nil"/>
              <w:bottom w:val="nil"/>
              <w:right w:val="nil"/>
            </w:tcBorders>
          </w:tcPr>
          <w:p w14:paraId="6B4C209E" w14:textId="77777777" w:rsidR="008D0EFE" w:rsidRPr="008D0EFE" w:rsidRDefault="008D0EFE" w:rsidP="008D0EFE">
            <w:pPr>
              <w:rPr>
                <w:rFonts w:ascii="Courier New" w:eastAsia="Calibri" w:hAnsi="Courier New" w:cs="Courier New"/>
                <w:i/>
                <w:sz w:val="24"/>
                <w:szCs w:val="24"/>
              </w:rPr>
            </w:pPr>
            <w:r w:rsidRPr="008D0EFE">
              <w:rPr>
                <w:rFonts w:ascii="Courier New" w:eastAsia="Calibri" w:hAnsi="Courier New" w:cs="Courier New"/>
                <w:i/>
                <w:sz w:val="24"/>
                <w:szCs w:val="24"/>
              </w:rPr>
              <w:t>Onobrychis spp.</w:t>
            </w:r>
          </w:p>
        </w:tc>
        <w:tc>
          <w:tcPr>
            <w:tcW w:w="723" w:type="dxa"/>
            <w:tcBorders>
              <w:top w:val="nil"/>
              <w:left w:val="nil"/>
              <w:bottom w:val="nil"/>
              <w:right w:val="nil"/>
            </w:tcBorders>
          </w:tcPr>
          <w:p w14:paraId="628C4CDA"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3B6D1FFC"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6470E9C0" w14:textId="77777777" w:rsidR="008D0EFE" w:rsidRPr="008D0EFE" w:rsidRDefault="008D0EFE" w:rsidP="008D0EFE">
            <w:pPr>
              <w:rPr>
                <w:rFonts w:ascii="Courier New" w:eastAsia="Calibri" w:hAnsi="Courier New" w:cs="Courier New"/>
                <w:sz w:val="24"/>
                <w:szCs w:val="24"/>
              </w:rPr>
            </w:pPr>
          </w:p>
        </w:tc>
        <w:tc>
          <w:tcPr>
            <w:tcW w:w="616" w:type="dxa"/>
            <w:tcBorders>
              <w:top w:val="nil"/>
              <w:left w:val="nil"/>
              <w:bottom w:val="nil"/>
              <w:right w:val="nil"/>
            </w:tcBorders>
          </w:tcPr>
          <w:p w14:paraId="5AC45778"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3A4A8471" w14:textId="77777777" w:rsidTr="00A12E42">
        <w:tc>
          <w:tcPr>
            <w:tcW w:w="2150" w:type="dxa"/>
            <w:tcBorders>
              <w:top w:val="nil"/>
              <w:left w:val="nil"/>
              <w:bottom w:val="nil"/>
              <w:right w:val="nil"/>
            </w:tcBorders>
          </w:tcPr>
          <w:p w14:paraId="2D8B1EE2"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lastRenderedPageBreak/>
              <w:t>Birdsfoot Trefoil</w:t>
            </w:r>
          </w:p>
        </w:tc>
        <w:tc>
          <w:tcPr>
            <w:tcW w:w="3156" w:type="dxa"/>
            <w:tcBorders>
              <w:top w:val="nil"/>
              <w:left w:val="nil"/>
              <w:bottom w:val="nil"/>
              <w:right w:val="nil"/>
            </w:tcBorders>
          </w:tcPr>
          <w:p w14:paraId="4D2C7DA5" w14:textId="77777777" w:rsidR="008D0EFE" w:rsidRPr="008D0EFE" w:rsidRDefault="008D0EFE" w:rsidP="008D0EFE">
            <w:pPr>
              <w:rPr>
                <w:rFonts w:ascii="Courier New" w:eastAsia="Calibri" w:hAnsi="Courier New" w:cs="Courier New"/>
                <w:i/>
                <w:sz w:val="24"/>
                <w:szCs w:val="24"/>
              </w:rPr>
            </w:pPr>
            <w:r w:rsidRPr="008D0EFE">
              <w:rPr>
                <w:rFonts w:ascii="Courier New" w:eastAsia="Calibri" w:hAnsi="Courier New" w:cs="Courier New"/>
                <w:i/>
                <w:sz w:val="24"/>
                <w:szCs w:val="24"/>
              </w:rPr>
              <w:t xml:space="preserve">Lotus corniculatus </w:t>
            </w:r>
            <w:r w:rsidRPr="008D0EFE">
              <w:rPr>
                <w:rFonts w:ascii="Courier New" w:eastAsia="Calibri" w:hAnsi="Courier New" w:cs="Courier New"/>
                <w:sz w:val="24"/>
                <w:szCs w:val="24"/>
              </w:rPr>
              <w:t>L.</w:t>
            </w:r>
          </w:p>
        </w:tc>
        <w:tc>
          <w:tcPr>
            <w:tcW w:w="723" w:type="dxa"/>
            <w:tcBorders>
              <w:top w:val="nil"/>
              <w:left w:val="nil"/>
              <w:bottom w:val="nil"/>
              <w:right w:val="nil"/>
            </w:tcBorders>
          </w:tcPr>
          <w:p w14:paraId="3EDD0FF6"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41BA3539"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1F9891EB" w14:textId="77777777" w:rsidR="008D0EFE" w:rsidRPr="008D0EFE" w:rsidRDefault="008D0EFE" w:rsidP="008D0EFE">
            <w:pPr>
              <w:rPr>
                <w:rFonts w:ascii="Courier New" w:eastAsia="Calibri" w:hAnsi="Courier New" w:cs="Courier New"/>
                <w:sz w:val="24"/>
                <w:szCs w:val="24"/>
              </w:rPr>
            </w:pPr>
          </w:p>
        </w:tc>
        <w:tc>
          <w:tcPr>
            <w:tcW w:w="616" w:type="dxa"/>
            <w:tcBorders>
              <w:top w:val="nil"/>
              <w:left w:val="nil"/>
              <w:bottom w:val="nil"/>
              <w:right w:val="nil"/>
            </w:tcBorders>
          </w:tcPr>
          <w:p w14:paraId="3B229F6A"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7D03058D" w14:textId="77777777" w:rsidTr="00A12E42">
        <w:tc>
          <w:tcPr>
            <w:tcW w:w="2150" w:type="dxa"/>
            <w:tcBorders>
              <w:top w:val="nil"/>
              <w:left w:val="nil"/>
              <w:bottom w:val="nil"/>
              <w:right w:val="nil"/>
            </w:tcBorders>
          </w:tcPr>
          <w:p w14:paraId="57C7C235"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Plantain</w:t>
            </w:r>
          </w:p>
        </w:tc>
        <w:tc>
          <w:tcPr>
            <w:tcW w:w="3156" w:type="dxa"/>
            <w:tcBorders>
              <w:top w:val="nil"/>
              <w:left w:val="nil"/>
              <w:bottom w:val="nil"/>
              <w:right w:val="nil"/>
            </w:tcBorders>
          </w:tcPr>
          <w:p w14:paraId="25725F52"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Plantago lanceolata</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2FBF8E21"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62BC4A73"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563" w:type="dxa"/>
            <w:tcBorders>
              <w:top w:val="nil"/>
              <w:left w:val="nil"/>
              <w:bottom w:val="nil"/>
              <w:right w:val="nil"/>
            </w:tcBorders>
          </w:tcPr>
          <w:p w14:paraId="6C80FC09"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2B51D271"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59C29109" w14:textId="77777777" w:rsidTr="00A12E42">
        <w:tc>
          <w:tcPr>
            <w:tcW w:w="2150" w:type="dxa"/>
            <w:tcBorders>
              <w:top w:val="nil"/>
              <w:left w:val="nil"/>
              <w:bottom w:val="nil"/>
              <w:right w:val="nil"/>
            </w:tcBorders>
          </w:tcPr>
          <w:p w14:paraId="77F8DD84"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Chicory</w:t>
            </w:r>
          </w:p>
        </w:tc>
        <w:tc>
          <w:tcPr>
            <w:tcW w:w="3156" w:type="dxa"/>
            <w:tcBorders>
              <w:top w:val="nil"/>
              <w:left w:val="nil"/>
              <w:bottom w:val="nil"/>
              <w:right w:val="nil"/>
            </w:tcBorders>
          </w:tcPr>
          <w:p w14:paraId="2157155B"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Cichorium intybus</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24DAF60A"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7F1D9706"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563" w:type="dxa"/>
            <w:tcBorders>
              <w:top w:val="nil"/>
              <w:left w:val="nil"/>
              <w:bottom w:val="nil"/>
              <w:right w:val="nil"/>
            </w:tcBorders>
          </w:tcPr>
          <w:p w14:paraId="2D37C6A1"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c>
          <w:tcPr>
            <w:tcW w:w="616" w:type="dxa"/>
            <w:tcBorders>
              <w:top w:val="nil"/>
              <w:left w:val="nil"/>
              <w:bottom w:val="nil"/>
              <w:right w:val="nil"/>
            </w:tcBorders>
          </w:tcPr>
          <w:p w14:paraId="4FCBD54B"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6E56C09A" w14:textId="77777777" w:rsidTr="00A12E42">
        <w:tc>
          <w:tcPr>
            <w:tcW w:w="2150" w:type="dxa"/>
            <w:tcBorders>
              <w:top w:val="nil"/>
              <w:left w:val="nil"/>
              <w:bottom w:val="nil"/>
              <w:right w:val="nil"/>
            </w:tcBorders>
          </w:tcPr>
          <w:p w14:paraId="1842EA9A"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Yarrow</w:t>
            </w:r>
          </w:p>
        </w:tc>
        <w:tc>
          <w:tcPr>
            <w:tcW w:w="3156" w:type="dxa"/>
            <w:tcBorders>
              <w:top w:val="nil"/>
              <w:left w:val="nil"/>
              <w:bottom w:val="nil"/>
              <w:right w:val="nil"/>
            </w:tcBorders>
          </w:tcPr>
          <w:p w14:paraId="5A2ED1BD"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Achillea millefolium</w:t>
            </w:r>
            <w:r w:rsidRPr="008D0EFE">
              <w:rPr>
                <w:rFonts w:ascii="Courier New" w:eastAsia="Calibri" w:hAnsi="Courier New" w:cs="Courier New"/>
                <w:sz w:val="24"/>
                <w:szCs w:val="24"/>
              </w:rPr>
              <w:t xml:space="preserve"> L.</w:t>
            </w:r>
          </w:p>
        </w:tc>
        <w:tc>
          <w:tcPr>
            <w:tcW w:w="723" w:type="dxa"/>
            <w:tcBorders>
              <w:top w:val="nil"/>
              <w:left w:val="nil"/>
              <w:bottom w:val="nil"/>
              <w:right w:val="nil"/>
            </w:tcBorders>
          </w:tcPr>
          <w:p w14:paraId="5131178D"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63615888"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288E5138" w14:textId="77777777" w:rsidR="008D0EFE" w:rsidRPr="008D0EFE" w:rsidRDefault="008D0EFE" w:rsidP="008D0EFE">
            <w:pPr>
              <w:rPr>
                <w:rFonts w:ascii="Courier New" w:eastAsia="Calibri" w:hAnsi="Courier New" w:cs="Courier New"/>
                <w:sz w:val="24"/>
                <w:szCs w:val="24"/>
              </w:rPr>
            </w:pPr>
          </w:p>
        </w:tc>
        <w:tc>
          <w:tcPr>
            <w:tcW w:w="616" w:type="dxa"/>
            <w:tcBorders>
              <w:top w:val="nil"/>
              <w:left w:val="nil"/>
              <w:bottom w:val="nil"/>
              <w:right w:val="nil"/>
            </w:tcBorders>
          </w:tcPr>
          <w:p w14:paraId="76CE95D3"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5EDA43A9" w14:textId="77777777" w:rsidTr="00A12E42">
        <w:tc>
          <w:tcPr>
            <w:tcW w:w="2150" w:type="dxa"/>
            <w:tcBorders>
              <w:top w:val="nil"/>
              <w:left w:val="nil"/>
              <w:bottom w:val="nil"/>
              <w:right w:val="nil"/>
            </w:tcBorders>
          </w:tcPr>
          <w:p w14:paraId="1127C504"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Burnet</w:t>
            </w:r>
          </w:p>
        </w:tc>
        <w:tc>
          <w:tcPr>
            <w:tcW w:w="3156" w:type="dxa"/>
            <w:tcBorders>
              <w:top w:val="nil"/>
              <w:left w:val="nil"/>
              <w:bottom w:val="nil"/>
              <w:right w:val="nil"/>
            </w:tcBorders>
          </w:tcPr>
          <w:p w14:paraId="3DBDE1AD"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Sanguisorba minor</w:t>
            </w:r>
            <w:r w:rsidRPr="008D0EFE">
              <w:rPr>
                <w:rFonts w:ascii="Courier New" w:eastAsia="Calibri" w:hAnsi="Courier New" w:cs="Courier New"/>
                <w:sz w:val="24"/>
                <w:szCs w:val="24"/>
              </w:rPr>
              <w:t xml:space="preserve"> Scop.</w:t>
            </w:r>
          </w:p>
        </w:tc>
        <w:tc>
          <w:tcPr>
            <w:tcW w:w="723" w:type="dxa"/>
            <w:tcBorders>
              <w:top w:val="nil"/>
              <w:left w:val="nil"/>
              <w:bottom w:val="nil"/>
              <w:right w:val="nil"/>
            </w:tcBorders>
          </w:tcPr>
          <w:p w14:paraId="38877EAB"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nil"/>
              <w:right w:val="nil"/>
            </w:tcBorders>
          </w:tcPr>
          <w:p w14:paraId="41133146"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nil"/>
              <w:right w:val="nil"/>
            </w:tcBorders>
          </w:tcPr>
          <w:p w14:paraId="18562B64" w14:textId="77777777" w:rsidR="008D0EFE" w:rsidRPr="008D0EFE" w:rsidRDefault="008D0EFE" w:rsidP="008D0EFE">
            <w:pPr>
              <w:rPr>
                <w:rFonts w:ascii="Courier New" w:eastAsia="Calibri" w:hAnsi="Courier New" w:cs="Courier New"/>
                <w:sz w:val="24"/>
                <w:szCs w:val="24"/>
              </w:rPr>
            </w:pPr>
          </w:p>
        </w:tc>
        <w:tc>
          <w:tcPr>
            <w:tcW w:w="616" w:type="dxa"/>
            <w:tcBorders>
              <w:top w:val="nil"/>
              <w:left w:val="nil"/>
              <w:bottom w:val="nil"/>
              <w:right w:val="nil"/>
            </w:tcBorders>
          </w:tcPr>
          <w:p w14:paraId="3CCB5074"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r w:rsidR="008D0EFE" w:rsidRPr="008D0EFE" w14:paraId="31409245" w14:textId="77777777" w:rsidTr="00A12E42">
        <w:tc>
          <w:tcPr>
            <w:tcW w:w="2150" w:type="dxa"/>
            <w:tcBorders>
              <w:top w:val="nil"/>
              <w:left w:val="nil"/>
              <w:bottom w:val="single" w:sz="4" w:space="0" w:color="auto"/>
              <w:right w:val="nil"/>
            </w:tcBorders>
          </w:tcPr>
          <w:p w14:paraId="76629C35"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t>Sheep’s Parsley</w:t>
            </w:r>
          </w:p>
        </w:tc>
        <w:tc>
          <w:tcPr>
            <w:tcW w:w="3156" w:type="dxa"/>
            <w:tcBorders>
              <w:top w:val="nil"/>
              <w:left w:val="nil"/>
              <w:bottom w:val="single" w:sz="4" w:space="0" w:color="auto"/>
              <w:right w:val="nil"/>
            </w:tcBorders>
          </w:tcPr>
          <w:p w14:paraId="400F9A16"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i/>
                <w:sz w:val="24"/>
                <w:szCs w:val="24"/>
              </w:rPr>
              <w:t>Petroselenium crispum</w:t>
            </w:r>
            <w:r w:rsidRPr="008D0EFE">
              <w:rPr>
                <w:rFonts w:ascii="Courier New" w:eastAsia="Calibri" w:hAnsi="Courier New" w:cs="Courier New"/>
                <w:sz w:val="24"/>
                <w:szCs w:val="24"/>
              </w:rPr>
              <w:t xml:space="preserve"> Mill.</w:t>
            </w:r>
          </w:p>
        </w:tc>
        <w:tc>
          <w:tcPr>
            <w:tcW w:w="723" w:type="dxa"/>
            <w:tcBorders>
              <w:top w:val="nil"/>
              <w:left w:val="nil"/>
              <w:bottom w:val="single" w:sz="4" w:space="0" w:color="auto"/>
              <w:right w:val="nil"/>
            </w:tcBorders>
          </w:tcPr>
          <w:p w14:paraId="31970925" w14:textId="77777777" w:rsidR="008D0EFE" w:rsidRPr="008D0EFE" w:rsidRDefault="008D0EFE" w:rsidP="008D0EFE">
            <w:pPr>
              <w:rPr>
                <w:rFonts w:ascii="Courier New" w:eastAsia="Calibri" w:hAnsi="Courier New" w:cs="Courier New"/>
                <w:sz w:val="24"/>
                <w:szCs w:val="24"/>
              </w:rPr>
            </w:pPr>
          </w:p>
        </w:tc>
        <w:tc>
          <w:tcPr>
            <w:tcW w:w="641" w:type="dxa"/>
            <w:tcBorders>
              <w:top w:val="nil"/>
              <w:left w:val="nil"/>
              <w:bottom w:val="single" w:sz="4" w:space="0" w:color="auto"/>
              <w:right w:val="nil"/>
            </w:tcBorders>
          </w:tcPr>
          <w:p w14:paraId="0A46B167" w14:textId="77777777" w:rsidR="008D0EFE" w:rsidRPr="008D0EFE" w:rsidRDefault="008D0EFE" w:rsidP="008D0EFE">
            <w:pPr>
              <w:rPr>
                <w:rFonts w:ascii="Courier New" w:eastAsia="Calibri" w:hAnsi="Courier New" w:cs="Courier New"/>
                <w:sz w:val="24"/>
                <w:szCs w:val="24"/>
              </w:rPr>
            </w:pPr>
          </w:p>
        </w:tc>
        <w:tc>
          <w:tcPr>
            <w:tcW w:w="563" w:type="dxa"/>
            <w:tcBorders>
              <w:top w:val="nil"/>
              <w:left w:val="nil"/>
              <w:bottom w:val="single" w:sz="4" w:space="0" w:color="auto"/>
              <w:right w:val="nil"/>
            </w:tcBorders>
          </w:tcPr>
          <w:p w14:paraId="5510718B" w14:textId="77777777" w:rsidR="008D0EFE" w:rsidRPr="008D0EFE" w:rsidRDefault="008D0EFE" w:rsidP="008D0EFE">
            <w:pPr>
              <w:rPr>
                <w:rFonts w:ascii="Courier New" w:eastAsia="Calibri" w:hAnsi="Courier New" w:cs="Courier New"/>
                <w:sz w:val="24"/>
                <w:szCs w:val="24"/>
              </w:rPr>
            </w:pPr>
          </w:p>
        </w:tc>
        <w:tc>
          <w:tcPr>
            <w:tcW w:w="616" w:type="dxa"/>
            <w:tcBorders>
              <w:top w:val="nil"/>
              <w:left w:val="nil"/>
              <w:bottom w:val="single" w:sz="4" w:space="0" w:color="auto"/>
              <w:right w:val="nil"/>
            </w:tcBorders>
          </w:tcPr>
          <w:p w14:paraId="72E0B304" w14:textId="77777777" w:rsidR="008D0EFE" w:rsidRPr="008D0EFE" w:rsidRDefault="008D0EFE" w:rsidP="008D0EFE">
            <w:pPr>
              <w:rPr>
                <w:rFonts w:ascii="Courier New" w:eastAsia="Calibri" w:hAnsi="Courier New" w:cs="Courier New"/>
                <w:sz w:val="24"/>
                <w:szCs w:val="24"/>
              </w:rPr>
            </w:pPr>
            <w:r w:rsidRPr="008D0EFE">
              <w:rPr>
                <w:rFonts w:ascii="Courier New" w:eastAsia="Calibri" w:hAnsi="Courier New" w:cs="Courier New"/>
                <w:sz w:val="24"/>
                <w:szCs w:val="24"/>
              </w:rPr>
              <w:sym w:font="Wingdings" w:char="F0FC"/>
            </w:r>
          </w:p>
        </w:tc>
      </w:tr>
    </w:tbl>
    <w:p w14:paraId="1538379D" w14:textId="77777777" w:rsidR="008D0EFE" w:rsidRPr="008D0EFE" w:rsidRDefault="008D0EFE" w:rsidP="008D0EFE">
      <w:pPr>
        <w:rPr>
          <w:rStyle w:val="FigureChar"/>
          <w:rFonts w:ascii="Courier New" w:hAnsi="Courier New" w:cs="Courier New"/>
        </w:rPr>
      </w:pPr>
    </w:p>
    <w:p w14:paraId="28BA2DA5" w14:textId="77777777" w:rsidR="008D0EFE" w:rsidRPr="008D0EFE" w:rsidRDefault="008D0EFE" w:rsidP="008D0EFE">
      <w:pPr>
        <w:rPr>
          <w:rStyle w:val="FigureChar"/>
          <w:rFonts w:ascii="Courier New" w:hAnsi="Courier New" w:cs="Courier New"/>
        </w:rPr>
      </w:pPr>
    </w:p>
    <w:p w14:paraId="1A085877" w14:textId="77777777" w:rsidR="008D0EFE" w:rsidRPr="008D0EFE" w:rsidRDefault="008D0EFE" w:rsidP="008D0EFE">
      <w:pPr>
        <w:rPr>
          <w:rFonts w:ascii="Courier New" w:hAnsi="Courier New" w:cs="Courier New"/>
        </w:rPr>
      </w:pPr>
      <w:bookmarkStart w:id="5" w:name="_Hlk85720286"/>
      <w:r w:rsidRPr="008D0EFE">
        <w:rPr>
          <w:rFonts w:ascii="Courier New" w:hAnsi="Courier New" w:cs="Courier New"/>
        </w:rPr>
        <w:t>Centre for Dairy Research Farm (CEDAR)</w:t>
      </w:r>
    </w:p>
    <w:bookmarkEnd w:id="5"/>
    <w:p w14:paraId="4D369982" w14:textId="77777777" w:rsidR="008D0EFE" w:rsidRPr="008D0EFE" w:rsidRDefault="008D0EFE" w:rsidP="008D0EFE">
      <w:pPr>
        <w:rPr>
          <w:rFonts w:ascii="Courier New" w:hAnsi="Courier New" w:cs="Courier New"/>
          <w:lang w:eastAsia="en-GB"/>
        </w:rPr>
      </w:pPr>
      <w:r w:rsidRPr="008D0EFE">
        <w:rPr>
          <w:rFonts w:ascii="Courier New" w:hAnsi="Courier New" w:cs="Courier New"/>
        </w:rPr>
        <w:t>Twenty 1ha paddocks representing the four forage mixtures repeated 5 times were sown at the CEDAR farm in Shinfield, Berkshire (51</w:t>
      </w:r>
      <w:r w:rsidRPr="008D0EFE">
        <w:rPr>
          <w:rFonts w:ascii="Courier New" w:hAnsi="Courier New" w:cs="Courier New"/>
          <w:vertAlign w:val="superscript"/>
        </w:rPr>
        <w:t>o</w:t>
      </w:r>
      <w:r w:rsidRPr="008D0EFE">
        <w:rPr>
          <w:rFonts w:ascii="Courier New" w:hAnsi="Courier New" w:cs="Courier New"/>
        </w:rPr>
        <w:t>24’43”N, 000</w:t>
      </w:r>
      <w:r w:rsidRPr="008D0EFE">
        <w:rPr>
          <w:rFonts w:ascii="Courier New" w:hAnsi="Courier New" w:cs="Courier New"/>
          <w:vertAlign w:val="superscript"/>
        </w:rPr>
        <w:t>o</w:t>
      </w:r>
      <w:r w:rsidRPr="008D0EFE">
        <w:rPr>
          <w:rFonts w:ascii="Courier New" w:hAnsi="Courier New" w:cs="Courier New"/>
        </w:rPr>
        <w:t>54’30”W). The paddocks were</w:t>
      </w:r>
      <w:r w:rsidRPr="008D0EFE">
        <w:rPr>
          <w:rFonts w:ascii="Courier New" w:eastAsia="Times New Roman" w:hAnsi="Courier New" w:cs="Courier New"/>
          <w:lang w:eastAsia="en-GB"/>
        </w:rPr>
        <w:t xml:space="preserve"> located </w:t>
      </w:r>
      <w:r w:rsidRPr="008D0EFE">
        <w:rPr>
          <w:rFonts w:ascii="Courier New" w:hAnsi="Courier New" w:cs="Courier New"/>
          <w:lang w:eastAsia="en-GB"/>
        </w:rPr>
        <w:t xml:space="preserve">on freely draining, slightly acid (pH 6.1) loamy soils </w:t>
      </w:r>
      <w:r w:rsidRPr="008D0EFE">
        <w:rPr>
          <w:rFonts w:ascii="Courier New" w:hAnsi="Courier New" w:cs="Courier New"/>
          <w:lang w:eastAsia="en-GB"/>
        </w:rPr>
        <w:fldChar w:fldCharType="begin" w:fldLock="1"/>
      </w:r>
      <w:r w:rsidRPr="008D0EFE">
        <w:rPr>
          <w:rFonts w:ascii="Courier New" w:hAnsi="Courier New" w:cs="Courier New"/>
          <w:lang w:eastAsia="en-GB"/>
        </w:rPr>
        <w:instrText>ADDIN CSL_CITATION {"citationItems":[{"id":"ITEM-1","itemData":{"URL":"http://www.landis.org.uk/soilscapes/index.cfm","accessed":{"date-parts":[["2019","6","17"]]},"author":[{"dropping-particle":"","family":"Cranfield University","given":"","non-dropping-particle":"","parse-names":false,"suffix":""}],"id":"ITEM-1","issued":{"date-parts":[["2019"]]},"title":"Cranfield Soil and Agrifood Institute – Soilscapes map","type":"webpage"},"uris":["http://www.mendeley.com/documents/?uuid=7b66ef96-ace3-414f-bd08-96b351dfda21"]}],"mendeley":{"formattedCitation":"(Cranfield University, 2019)","manualFormatting":"(Cranfield University, 2019","plainTextFormattedCitation":"(Cranfield University, 2019)","previouslyFormattedCitation":"(Cranfield University, 2019)"},"properties":{"noteIndex":0},"schema":"https://github.com/citation-style-language/schema/raw/master/csl-citation.json"}</w:instrText>
      </w:r>
      <w:r w:rsidRPr="008D0EFE">
        <w:rPr>
          <w:rFonts w:ascii="Courier New" w:hAnsi="Courier New" w:cs="Courier New"/>
          <w:lang w:eastAsia="en-GB"/>
        </w:rPr>
        <w:fldChar w:fldCharType="separate"/>
      </w:r>
      <w:r w:rsidRPr="008D0EFE">
        <w:rPr>
          <w:rFonts w:ascii="Courier New" w:hAnsi="Courier New" w:cs="Courier New"/>
          <w:lang w:eastAsia="en-GB"/>
        </w:rPr>
        <w:t>(Cranfield University, 2019</w:t>
      </w:r>
      <w:r w:rsidRPr="008D0EFE">
        <w:rPr>
          <w:rFonts w:ascii="Courier New" w:hAnsi="Courier New" w:cs="Courier New"/>
          <w:lang w:eastAsia="en-GB"/>
        </w:rPr>
        <w:fldChar w:fldCharType="end"/>
      </w:r>
      <w:r w:rsidRPr="008D0EFE">
        <w:rPr>
          <w:rFonts w:ascii="Courier New" w:hAnsi="Courier New" w:cs="Courier New"/>
          <w:lang w:eastAsia="en-GB"/>
        </w:rPr>
        <w:t>).</w:t>
      </w:r>
      <w:r w:rsidRPr="008D0EFE">
        <w:rPr>
          <w:rFonts w:ascii="Courier New" w:hAnsi="Courier New" w:cs="Courier New"/>
        </w:rPr>
        <w:t xml:space="preserve"> Management of the paddocks consisted of rotational strip grazing by 40 growing dairy cattle between March and November, starting two years after paddock establishment. Surplus herbage was cut to prescribed sward heights (7cm) and removed to maintain forage quality across replicates. Land use prior to the establishment of the paddocks was Italian ryegrass (</w:t>
      </w:r>
      <w:r w:rsidRPr="008D0EFE">
        <w:rPr>
          <w:rFonts w:ascii="Courier New" w:hAnsi="Courier New" w:cs="Courier New"/>
          <w:i/>
          <w:iCs/>
        </w:rPr>
        <w:t>Lolium multiflorum</w:t>
      </w:r>
      <w:r w:rsidRPr="008D0EFE">
        <w:rPr>
          <w:rFonts w:ascii="Courier New" w:hAnsi="Courier New" w:cs="Courier New"/>
        </w:rPr>
        <w:t>) in paddocks 1-10 and perennial ryegrass (</w:t>
      </w:r>
      <w:r w:rsidRPr="008D0EFE">
        <w:rPr>
          <w:rFonts w:ascii="Courier New" w:hAnsi="Courier New" w:cs="Courier New"/>
          <w:i/>
          <w:iCs/>
        </w:rPr>
        <w:t>Lolium perenne</w:t>
      </w:r>
      <w:r w:rsidRPr="008D0EFE">
        <w:rPr>
          <w:rFonts w:ascii="Courier New" w:hAnsi="Courier New" w:cs="Courier New"/>
        </w:rPr>
        <w:t>) in paddocks 11-20.</w:t>
      </w:r>
      <w:r w:rsidRPr="008D0EFE">
        <w:rPr>
          <w:rFonts w:ascii="Courier New" w:hAnsi="Courier New" w:cs="Courier New"/>
          <w:lang w:eastAsia="en-GB"/>
        </w:rPr>
        <w:t xml:space="preserve"> </w:t>
      </w:r>
    </w:p>
    <w:p w14:paraId="42ABE69E" w14:textId="77777777" w:rsidR="008D0EFE" w:rsidRPr="008D0EFE" w:rsidRDefault="008D0EFE" w:rsidP="008D0EFE">
      <w:pPr>
        <w:rPr>
          <w:rFonts w:ascii="Courier New" w:hAnsi="Courier New" w:cs="Courier New"/>
        </w:rPr>
      </w:pPr>
    </w:p>
    <w:p w14:paraId="57BB25CC" w14:textId="77777777" w:rsidR="008D0EFE" w:rsidRPr="008D0EFE" w:rsidRDefault="008D0EFE" w:rsidP="008D0EFE">
      <w:pPr>
        <w:rPr>
          <w:rFonts w:ascii="Courier New" w:hAnsi="Courier New" w:cs="Courier New"/>
        </w:rPr>
      </w:pPr>
      <w:r w:rsidRPr="008D0EFE">
        <w:rPr>
          <w:rFonts w:ascii="Courier New" w:hAnsi="Courier New" w:cs="Courier New"/>
        </w:rPr>
        <w:t>Crops Research Unit Farm (CRU)</w:t>
      </w:r>
    </w:p>
    <w:p w14:paraId="41A5DA40" w14:textId="77777777" w:rsidR="008D0EFE" w:rsidRPr="008D0EFE" w:rsidRDefault="008D0EFE" w:rsidP="008D0EFE">
      <w:pPr>
        <w:rPr>
          <w:rFonts w:ascii="Courier New" w:hAnsi="Courier New" w:cs="Courier New"/>
          <w:lang w:eastAsia="en-GB"/>
        </w:rPr>
      </w:pPr>
      <w:r w:rsidRPr="008D0EFE">
        <w:rPr>
          <w:rFonts w:ascii="Courier New" w:eastAsia="Calibri" w:hAnsi="Courier New" w:cs="Courier New"/>
        </w:rPr>
        <w:t>Two locations within the CRU f</w:t>
      </w:r>
      <w:r w:rsidRPr="008D0EFE">
        <w:rPr>
          <w:rFonts w:ascii="Courier New" w:hAnsi="Courier New" w:cs="Courier New"/>
        </w:rPr>
        <w:t xml:space="preserve">arm in Sonning, Berkshire </w:t>
      </w:r>
      <w:r w:rsidRPr="008D0EFE">
        <w:rPr>
          <w:rFonts w:ascii="Courier New" w:eastAsia="Calibri" w:hAnsi="Courier New" w:cs="Courier New"/>
        </w:rPr>
        <w:t>(51</w:t>
      </w:r>
      <w:r w:rsidRPr="008D0EFE">
        <w:rPr>
          <w:rFonts w:ascii="Courier New" w:eastAsia="Calibri" w:hAnsi="Courier New" w:cs="Courier New"/>
          <w:vertAlign w:val="superscript"/>
        </w:rPr>
        <w:t>o</w:t>
      </w:r>
      <w:r w:rsidRPr="008D0EFE">
        <w:rPr>
          <w:rFonts w:ascii="Courier New" w:eastAsia="Calibri" w:hAnsi="Courier New" w:cs="Courier New"/>
        </w:rPr>
        <w:t>28’22.4” N 0</w:t>
      </w:r>
      <w:r w:rsidRPr="008D0EFE">
        <w:rPr>
          <w:rFonts w:ascii="Courier New" w:eastAsia="Calibri" w:hAnsi="Courier New" w:cs="Courier New"/>
          <w:vertAlign w:val="superscript"/>
        </w:rPr>
        <w:t>o</w:t>
      </w:r>
      <w:r w:rsidRPr="008D0EFE">
        <w:rPr>
          <w:rFonts w:ascii="Courier New" w:eastAsia="Calibri" w:hAnsi="Courier New" w:cs="Courier New"/>
        </w:rPr>
        <w:t xml:space="preserve">54’15.3” W) were selected for their varying soil types. One site was an excessively drained shallow light sandy loam on gravel bed, while the other was a </w:t>
      </w:r>
      <w:r w:rsidRPr="008D0EFE">
        <w:rPr>
          <w:rFonts w:ascii="Courier New" w:hAnsi="Courier New" w:cs="Courier New"/>
        </w:rPr>
        <w:t xml:space="preserve">free-draining loamy coarse sand close to the river Thames </w:t>
      </w:r>
      <w:r w:rsidRPr="008D0EFE">
        <w:rPr>
          <w:rFonts w:ascii="Courier New" w:hAnsi="Courier New" w:cs="Courier New"/>
        </w:rPr>
        <w:fldChar w:fldCharType="begin" w:fldLock="1"/>
      </w:r>
      <w:r w:rsidRPr="008D0EFE">
        <w:rPr>
          <w:rFonts w:ascii="Courier New" w:hAnsi="Courier New" w:cs="Courier New"/>
        </w:rPr>
        <w:instrText>ADDIN CSL_CITATION {"citationItems":[{"id":"ITEM-1","itemData":{"URL":"http://www.landis.org.uk/soilscapes/index.cfm","accessed":{"date-parts":[["2019","6","17"]]},"author":[{"dropping-particle":"","family":"Cranfield University","given":"","non-dropping-particle":"","parse-names":false,"suffix":""}],"id":"ITEM-1","issued":{"date-parts":[["2019"]]},"title":"Cranfield Soil and Agrifood Institute – Soilscapes map","type":"webpage"},"uris":["http://www.mendeley.com/documents/?uuid=7b66ef96-ace3-414f-bd08-96b351dfda21"]}],"mendeley":{"formattedCitation":"(Cranfield University, 2019)","plainTextFormattedCitation":"(Cranfield University, 2019)","previouslyFormattedCitation":"(Cranfield University, 2019)"},"properties":{"noteIndex":0},"schema":"https://github.com/citation-style-language/schema/raw/master/csl-citation.json"}</w:instrText>
      </w:r>
      <w:r w:rsidRPr="008D0EFE">
        <w:rPr>
          <w:rFonts w:ascii="Courier New" w:hAnsi="Courier New" w:cs="Courier New"/>
        </w:rPr>
        <w:fldChar w:fldCharType="separate"/>
      </w:r>
      <w:r w:rsidRPr="008D0EFE">
        <w:rPr>
          <w:rFonts w:ascii="Courier New" w:hAnsi="Courier New" w:cs="Courier New"/>
        </w:rPr>
        <w:t>(Cranfield University, 2019)</w:t>
      </w:r>
      <w:r w:rsidRPr="008D0EFE">
        <w:rPr>
          <w:rFonts w:ascii="Courier New" w:hAnsi="Courier New" w:cs="Courier New"/>
        </w:rPr>
        <w:fldChar w:fldCharType="end"/>
      </w:r>
      <w:r w:rsidRPr="008D0EFE">
        <w:rPr>
          <w:rFonts w:ascii="Courier New" w:eastAsia="Calibri" w:hAnsi="Courier New" w:cs="Courier New"/>
        </w:rPr>
        <w:t>. The first site</w:t>
      </w:r>
      <w:r w:rsidRPr="008D0EFE">
        <w:rPr>
          <w:rFonts w:ascii="Courier New" w:hAnsi="Courier New" w:cs="Courier New"/>
        </w:rPr>
        <w:t xml:space="preserve"> usually experiences severe drought in the summer (2% soil moisture as of June 2018), hereafter referred to as the dry site. The second site can typically support crop growth throughout the growing season without irrigation (7% soil moisture as of June 2018), hereafter referred to as the well-watered site. Both sites were under arable management prior to the establishment of this experiment. At both CRU sites, four replicate plots 4.2 x 5m in size of the four forage mixtures were sown in a 4x4 Latin square design. The management regime of all plots simulated animal grazing by hand cutting and removal when biomass reached 2500 kg/ha dry matter from May until September, leaving 7cm height residual forage. Cutting occurred 2 to 5 times per season (three times per year on average) over 3 growing seasons (2017 to 2019). </w:t>
      </w:r>
    </w:p>
    <w:p w14:paraId="12B2AC9C" w14:textId="77777777" w:rsidR="008D0EFE" w:rsidRPr="008D0EFE" w:rsidRDefault="008D0EFE" w:rsidP="008D0EFE">
      <w:pPr>
        <w:rPr>
          <w:rFonts w:ascii="Courier New" w:hAnsi="Courier New" w:cs="Courier New"/>
          <w:lang w:eastAsia="en-GB"/>
        </w:rPr>
      </w:pPr>
    </w:p>
    <w:p w14:paraId="6B948A9A" w14:textId="77777777" w:rsidR="008D0EFE" w:rsidRPr="008D0EFE" w:rsidRDefault="008D0EFE" w:rsidP="008D0EFE">
      <w:pPr>
        <w:rPr>
          <w:rFonts w:ascii="Courier New" w:hAnsi="Courier New" w:cs="Courier New"/>
          <w:lang w:eastAsia="en-GB"/>
        </w:rPr>
      </w:pPr>
      <w:bookmarkStart w:id="6" w:name="_Toc151117593"/>
      <w:r w:rsidRPr="008D0EFE">
        <w:rPr>
          <w:rFonts w:ascii="Courier New" w:hAnsi="Courier New" w:cs="Courier New"/>
          <w:lang w:eastAsia="en-GB"/>
        </w:rPr>
        <w:t>Soil sampling</w:t>
      </w:r>
      <w:bookmarkEnd w:id="6"/>
    </w:p>
    <w:p w14:paraId="3C961D0C" w14:textId="77777777" w:rsidR="008D0EFE" w:rsidRPr="008D0EFE" w:rsidRDefault="008D0EFE" w:rsidP="008D0EFE">
      <w:pPr>
        <w:rPr>
          <w:rStyle w:val="SubtleEmphasis"/>
          <w:rFonts w:ascii="Courier New" w:hAnsi="Courier New" w:cs="Courier New"/>
          <w:i w:val="0"/>
          <w:iCs w:val="0"/>
        </w:rPr>
      </w:pPr>
      <w:bookmarkStart w:id="7" w:name="_Toc23430452"/>
      <w:r w:rsidRPr="008D0EFE">
        <w:rPr>
          <w:rStyle w:val="SubtleEmphasis"/>
          <w:rFonts w:ascii="Courier New" w:hAnsi="Courier New" w:cs="Courier New"/>
        </w:rPr>
        <w:lastRenderedPageBreak/>
        <w:t>Earthworm</w:t>
      </w:r>
      <w:bookmarkEnd w:id="7"/>
      <w:r w:rsidRPr="008D0EFE">
        <w:rPr>
          <w:rStyle w:val="SubtleEmphasis"/>
          <w:rFonts w:ascii="Courier New" w:hAnsi="Courier New" w:cs="Courier New"/>
        </w:rPr>
        <w:t>s</w:t>
      </w:r>
    </w:p>
    <w:p w14:paraId="65E52CCC" w14:textId="77777777" w:rsidR="008D0EFE" w:rsidRPr="008D0EFE" w:rsidRDefault="008D0EFE" w:rsidP="008D0EFE">
      <w:pPr>
        <w:rPr>
          <w:rFonts w:ascii="Courier New" w:hAnsi="Courier New" w:cs="Courier New"/>
        </w:rPr>
      </w:pPr>
      <w:r w:rsidRPr="008D0EFE">
        <w:rPr>
          <w:rFonts w:ascii="Courier New" w:hAnsi="Courier New" w:cs="Courier New"/>
        </w:rPr>
        <w:t xml:space="preserve">Two random 20x20x20cm soil pits per paddock were dug in April 2019 at CEDAR, two and a half years after sward establishment. The CEDAR site was chosen for the destructive sampling due to the larger paddock size compared to the smaller CRU plots. Five litres of mustard flour solution (6g/l mustard flour prepared 24hr before sampling) was poured down each pit and allowed 1 hour to soak away. Destructive soil pit sampling and hand sorting ensure epigeic and endogeic earthworms are observed; chemical extraction ensures the anecic ecological earthworm group is also sampled. The mustard solution was chosen as the chemical irritant over formalin vermifuge due to its non-carcinogenic and non-phytotoxic properties </w:t>
      </w:r>
      <w:r w:rsidRPr="008D0EFE">
        <w:rPr>
          <w:rFonts w:ascii="Courier New" w:hAnsi="Courier New" w:cs="Courier New"/>
        </w:rPr>
        <w:fldChar w:fldCharType="begin" w:fldLock="1"/>
      </w:r>
      <w:r w:rsidRPr="008D0EFE">
        <w:rPr>
          <w:rFonts w:ascii="Courier New" w:hAnsi="Courier New" w:cs="Courier New"/>
        </w:rPr>
        <w:instrText>ADDIN CSL_CITATION {"citationItems":[{"id":"ITEM-1","itemData":{"DOI":"10.1016/j.ejsobi.2008.09.013","ISBN":"1164-5563","ISSN":"11645563","PMID":"2753814","abstract":"The role earthworms play in soil fertility is under increasing scientific scrutiny, especially in light of the fact that farmers are seeking to reduce soil tillage. However, there are many discrepancies in earthworm sampling methods. The aim of this study is to compare the efficiency of three chemical expellants (formaldehyde, commercial 'hot' mustard and allyl isothiocyanate, abbreviated AITC), with two sampling methods: (i) a simple method that consisted in spreading an expellant solution on the soil and retrieving earthworms that emerged at the soil surface, and (ii) a combined method that consisted in applying a chemical to expel earthworms and then hand-sorting the remaining earthworms from the block of soil. Sampling efficiency was measured in terms of earthworm density and biomass, for endogeic and anecic earthworms. With the simple method, a higher density of earthworms was sampled using formaldehyde and AITC than with mustard. Formaldehyde, AITC and mustard expelled not significantly different biomasses of 47.7, 31.9 and 20.5 g m-2, respectively, on average over the three plots. The combined method did not yield a significantly different density or biomass with the different chemicals. Formaldehyde is toxic and commercial 'hot' mustard is difficult to standardise and inefficient when used without hand-sorting. Accounting for the accuracy of the sampling methods as well as the toxicity of the chemicals to users and soil organisms, AITC appears to be a reliable and promising chemical expellant whether or not in combination with hand-sorting. Its use would be a step towards standardizing earthworm sampling methods. © 2008 Elsevier Masson SAS. All rights reserved.","author":[{"dropping-particle":"","family":"Pelosi","given":"Céline","non-dropping-particle":"","parse-names":false,"suffix":""},{"dropping-particle":"","family":"Bertrand","given":"Michel","non-dropping-particle":"","parse-names":false,"suffix":""},{"dropping-particle":"","family":"Capowiez","given":"Yvan","non-dropping-particle":"","parse-names":false,"suffix":""},{"dropping-particle":"","family":"Boizard","given":"Hubert","non-dropping-particle":"","parse-names":false,"suffix":""},{"dropping-particle":"","family":"Roger-Estrade","given":"Jean","non-dropping-particle":"","parse-names":false,"suffix":""}],"container-title":"European Journal of Soil Biology","id":"ITEM-1","issue":"2","issued":{"date-parts":[["2009"]]},"page":"176-183","title":"Earthworm collection from agricultural fields: Comparisons of selected expellants in presence/absence of hand-sorting","type":"article-journal","volume":"45"},"uris":["http://www.mendeley.com/documents/?uuid=701f5bf0-59a3-43e2-8b70-4632a4bfaff8"]},{"id":"ITEM-2","itemData":{"author":[{"dropping-particle":"","family":"Gunn","given":"A","non-dropping-particle":"","parse-names":false,"suffix":""}],"id":"ITEM-2","issued":{"date-parts":[["1992"]]},"page":"65-67","publisher":"Pedobiologia","title":"The use of mustard to estimate earthworm populations","type":"article"},"uris":["http://www.mendeley.com/documents/?uuid=a37f3415-ad1c-4634-a0f0-175d95201d09"]}],"mendeley":{"formattedCitation":"(Gunn, 1992; Pelosi &lt;i&gt;et al.&lt;/i&gt;, 2009)","plainTextFormattedCitation":"(Gunn, 1992; Pelosi et al., 2009)","previouslyFormattedCitation":"(Gunn, 1992; Pelosi &lt;i&gt;et al.&lt;/i&gt;, 2009)"},"properties":{"noteIndex":0},"schema":"https://github.com/citation-style-language/schema/raw/master/csl-citation.json"}</w:instrText>
      </w:r>
      <w:r w:rsidRPr="008D0EFE">
        <w:rPr>
          <w:rFonts w:ascii="Courier New" w:hAnsi="Courier New" w:cs="Courier New"/>
        </w:rPr>
        <w:fldChar w:fldCharType="separate"/>
      </w:r>
      <w:r w:rsidRPr="008D0EFE">
        <w:rPr>
          <w:rFonts w:ascii="Courier New" w:hAnsi="Courier New" w:cs="Courier New"/>
        </w:rPr>
        <w:t xml:space="preserve">(Gunn, 1992; Pelosi </w:t>
      </w:r>
      <w:r w:rsidRPr="008D0EFE">
        <w:rPr>
          <w:rFonts w:ascii="Courier New" w:hAnsi="Courier New" w:cs="Courier New"/>
          <w:i/>
        </w:rPr>
        <w:t>et al.</w:t>
      </w:r>
      <w:r w:rsidRPr="008D0EFE">
        <w:rPr>
          <w:rFonts w:ascii="Courier New" w:hAnsi="Courier New" w:cs="Courier New"/>
        </w:rPr>
        <w:t>, 2009)</w:t>
      </w:r>
      <w:r w:rsidRPr="008D0EFE">
        <w:rPr>
          <w:rFonts w:ascii="Courier New" w:hAnsi="Courier New" w:cs="Courier New"/>
        </w:rPr>
        <w:fldChar w:fldCharType="end"/>
      </w:r>
      <w:r w:rsidRPr="008D0EFE">
        <w:rPr>
          <w:rFonts w:ascii="Courier New" w:hAnsi="Courier New" w:cs="Courier New"/>
        </w:rPr>
        <w:t xml:space="preserve">. Excavated soil was placed onto a 90cm x 40cm plastic sheet in the field, where the soil cube was gently teased apart to extract earthworms. Extracted earthworms were placed in a large, loosely closed bag to ensure gas exchange and earthworm survival until identification and weighing. Earthworms that emerged as a result of the mustard solution application were collected and washed with deionized water before placing them in the same bag as the earthworms extracted from the excavated soil. Sample bags with earthworms were kept indoors in a darkened area at room temperature before identification. Earthworms were extracted from the sample bags within 48hrs of field sampling. They were placed into a container of deionized water to remove excess soil before being placed onto damp tissue paper to remove excess water and weighed. All earthworms were weighed, including half earthworms. Adult earthworms were identified using the ‘Key to Common British Earthworms’ OPAL field guide </w:t>
      </w:r>
      <w:r w:rsidRPr="008D0EFE">
        <w:rPr>
          <w:rFonts w:ascii="Courier New" w:hAnsi="Courier New" w:cs="Courier New"/>
        </w:rPr>
        <w:fldChar w:fldCharType="begin" w:fldLock="1"/>
      </w:r>
      <w:r w:rsidRPr="008D0EFE">
        <w:rPr>
          <w:rFonts w:ascii="Courier New" w:hAnsi="Courier New" w:cs="Courier New"/>
        </w:rPr>
        <w:instrText>ADDIN CSL_CITATION {"citationItems":[{"id":"ITEM-1","itemData":{"URL":"https://www.opalexplorenature.org/sites/default/files/7/file/soil-survey-field-guide-2014.pdf","accessed":{"date-parts":[["2019","4","20"]]},"author":[{"dropping-particle":"","family":"Jones","given":"David","non-dropping-particle":"","parse-names":false,"suffix":""},{"dropping-particle":"","family":"Lowe","given":"Chris","non-dropping-particle":"","parse-names":false,"suffix":""}],"id":"ITEM-1","issued":{"date-parts":[["2012"]]},"title":"Key to common British earthworms","type":"webpage"},"uris":["http://www.mendeley.com/documents/?uuid=e758ae2e-e6d4-4219-bded-0ac21c6b5e9f"]}],"mendeley":{"formattedCitation":"(Jones and Lowe, 2012)","plainTextFormattedCitation":"(Jones and Lowe, 2012)","previouslyFormattedCitation":"(Jones and Lowe, 2012)"},"properties":{"noteIndex":0},"schema":"https://github.com/citation-style-language/schema/raw/master/csl-citation.json"}</w:instrText>
      </w:r>
      <w:r w:rsidRPr="008D0EFE">
        <w:rPr>
          <w:rFonts w:ascii="Courier New" w:hAnsi="Courier New" w:cs="Courier New"/>
        </w:rPr>
        <w:fldChar w:fldCharType="separate"/>
      </w:r>
      <w:r w:rsidRPr="008D0EFE">
        <w:rPr>
          <w:rFonts w:ascii="Courier New" w:hAnsi="Courier New" w:cs="Courier New"/>
        </w:rPr>
        <w:t>(Jones and Lowe, 2012)</w:t>
      </w:r>
      <w:r w:rsidRPr="008D0EFE">
        <w:rPr>
          <w:rFonts w:ascii="Courier New" w:hAnsi="Courier New" w:cs="Courier New"/>
        </w:rPr>
        <w:fldChar w:fldCharType="end"/>
      </w:r>
      <w:r w:rsidRPr="008D0EFE">
        <w:rPr>
          <w:rFonts w:ascii="Courier New" w:hAnsi="Courier New" w:cs="Courier New"/>
        </w:rPr>
        <w:t>, and diversity measured using the Shannon diversity index.</w:t>
      </w:r>
    </w:p>
    <w:p w14:paraId="23F48D57" w14:textId="77777777" w:rsidR="008D0EFE" w:rsidRPr="008D0EFE" w:rsidRDefault="008D0EFE" w:rsidP="008D0EFE">
      <w:pPr>
        <w:rPr>
          <w:rFonts w:ascii="Courier New" w:hAnsi="Courier New" w:cs="Courier New"/>
        </w:rPr>
      </w:pPr>
    </w:p>
    <w:p w14:paraId="77DF066A" w14:textId="77777777" w:rsidR="008D0EFE" w:rsidRPr="008D0EFE" w:rsidRDefault="008D0EFE" w:rsidP="008D0EFE">
      <w:pPr>
        <w:rPr>
          <w:rStyle w:val="SubtleEmphasis"/>
          <w:rFonts w:ascii="Courier New" w:hAnsi="Courier New" w:cs="Courier New"/>
          <w:i w:val="0"/>
          <w:iCs w:val="0"/>
        </w:rPr>
      </w:pPr>
      <w:bookmarkStart w:id="8" w:name="_Toc23430453"/>
      <w:r w:rsidRPr="008D0EFE">
        <w:rPr>
          <w:rStyle w:val="SubtleEmphasis"/>
          <w:rFonts w:ascii="Courier New" w:hAnsi="Courier New" w:cs="Courier New"/>
        </w:rPr>
        <w:t>Soil total carbon: total nitrogen</w:t>
      </w:r>
      <w:bookmarkEnd w:id="8"/>
    </w:p>
    <w:p w14:paraId="4205F91C" w14:textId="77777777" w:rsidR="008D0EFE" w:rsidRPr="008D0EFE" w:rsidRDefault="008D0EFE" w:rsidP="008D0EFE">
      <w:pPr>
        <w:rPr>
          <w:rFonts w:ascii="Courier New" w:hAnsi="Courier New" w:cs="Courier New"/>
        </w:rPr>
      </w:pPr>
      <w:r w:rsidRPr="008D0EFE">
        <w:rPr>
          <w:rFonts w:ascii="Courier New" w:hAnsi="Courier New" w:cs="Courier New"/>
        </w:rPr>
        <w:t>Approximately 600g of soil was collected from each soil pit at CEDAR after being sifted through for earthworms. Sample bags were kept at 4</w:t>
      </w:r>
      <w:r w:rsidRPr="008D0EFE">
        <w:rPr>
          <w:rFonts w:ascii="Courier New" w:hAnsi="Courier New" w:cs="Courier New"/>
          <w:vertAlign w:val="superscript"/>
        </w:rPr>
        <w:t>o</w:t>
      </w:r>
      <w:r w:rsidRPr="008D0EFE">
        <w:rPr>
          <w:rFonts w:ascii="Courier New" w:hAnsi="Courier New" w:cs="Courier New"/>
        </w:rPr>
        <w:t>C before analysis. Samples were dried in 40cm x 20cm metal containers for one day at 105</w:t>
      </w:r>
      <w:r w:rsidRPr="008D0EFE">
        <w:rPr>
          <w:rFonts w:ascii="Courier New" w:hAnsi="Courier New" w:cs="Courier New"/>
          <w:vertAlign w:val="superscript"/>
        </w:rPr>
        <w:t>o</w:t>
      </w:r>
      <w:r w:rsidRPr="008D0EFE">
        <w:rPr>
          <w:rFonts w:ascii="Courier New" w:hAnsi="Courier New" w:cs="Courier New"/>
        </w:rPr>
        <w:t>C. Dried samples were ground using a pestle and mortar, then passed through a series of sieves (5.6mm; 1mm; 425µm). ~0.2g of dried 425µm ground sieved soil, as required by the analyser protocol, was placed into a 502-186 tin foil cup, sealed and inserted into a carbon/nitrogen analyser (LECO CHN628; LECO corporation, Saint Joseph, Michigan, USA). Each sample was analysed for 4 minutes for complete combustion at 1000</w:t>
      </w:r>
      <w:r w:rsidRPr="008D0EFE">
        <w:rPr>
          <w:rFonts w:ascii="Courier New" w:hAnsi="Courier New" w:cs="Courier New"/>
          <w:vertAlign w:val="superscript"/>
        </w:rPr>
        <w:t>o</w:t>
      </w:r>
      <w:r w:rsidRPr="008D0EFE">
        <w:rPr>
          <w:rFonts w:ascii="Courier New" w:hAnsi="Courier New" w:cs="Courier New"/>
        </w:rPr>
        <w:t>C.</w:t>
      </w:r>
    </w:p>
    <w:p w14:paraId="7A327086" w14:textId="77777777" w:rsidR="008D0EFE" w:rsidRPr="008D0EFE" w:rsidRDefault="008D0EFE" w:rsidP="008D0EFE">
      <w:pPr>
        <w:rPr>
          <w:rFonts w:ascii="Courier New" w:hAnsi="Courier New" w:cs="Courier New"/>
        </w:rPr>
      </w:pPr>
    </w:p>
    <w:p w14:paraId="7C13BE36" w14:textId="77777777" w:rsidR="008D0EFE" w:rsidRPr="008D0EFE" w:rsidRDefault="008D0EFE" w:rsidP="008D0EFE">
      <w:pPr>
        <w:rPr>
          <w:rStyle w:val="SubtleEmphasis"/>
          <w:rFonts w:ascii="Courier New" w:hAnsi="Courier New" w:cs="Courier New"/>
          <w:i w:val="0"/>
          <w:iCs w:val="0"/>
        </w:rPr>
      </w:pPr>
      <w:bookmarkStart w:id="9" w:name="_Toc23430454"/>
      <w:r w:rsidRPr="008D0EFE">
        <w:rPr>
          <w:rStyle w:val="SubtleEmphasis"/>
          <w:rFonts w:ascii="Courier New" w:hAnsi="Courier New" w:cs="Courier New"/>
        </w:rPr>
        <w:t>Meso fauna</w:t>
      </w:r>
      <w:bookmarkEnd w:id="9"/>
    </w:p>
    <w:p w14:paraId="1C750F70" w14:textId="77777777" w:rsidR="008D0EFE" w:rsidRPr="008D0EFE" w:rsidRDefault="008D0EFE" w:rsidP="008D0EFE">
      <w:pPr>
        <w:rPr>
          <w:rFonts w:ascii="Courier New" w:hAnsi="Courier New" w:cs="Courier New"/>
        </w:rPr>
      </w:pPr>
      <w:r w:rsidRPr="008D0EFE">
        <w:rPr>
          <w:rFonts w:ascii="Courier New" w:hAnsi="Courier New" w:cs="Courier New"/>
        </w:rPr>
        <w:t xml:space="preserve">An additional 600g of soil was collected from each soil pit after sifting through for earthworms. Soil was placed into Tullgren funnels with 20watt bulbs within 5 hours of the collection, ethanol was used as the collection fluid. Funnels were heated continuously </w:t>
      </w:r>
      <w:r w:rsidRPr="008D0EFE">
        <w:rPr>
          <w:rFonts w:ascii="Courier New" w:hAnsi="Courier New" w:cs="Courier New"/>
        </w:rPr>
        <w:lastRenderedPageBreak/>
        <w:t xml:space="preserve">for 16 days; ethanol traps were checked daily. Mesofauna were identified down to phylum, class or order level depending on taxa using a dissecting stereo microscope and identification guide </w:t>
      </w:r>
      <w:r w:rsidRPr="008D0EFE">
        <w:rPr>
          <w:rFonts w:ascii="Courier New" w:hAnsi="Courier New" w:cs="Courier New"/>
        </w:rPr>
        <w:fldChar w:fldCharType="begin" w:fldLock="1"/>
      </w:r>
      <w:r w:rsidRPr="008D0EFE">
        <w:rPr>
          <w:rFonts w:ascii="Courier New" w:hAnsi="Courier New" w:cs="Courier New"/>
        </w:rPr>
        <w:instrText>ADDIN CSL_CITATION {"citationItems":[{"id":"ITEM-1","itemData":{"author":[{"dropping-particle":"","family":"Tilling","given":"S.M.","non-dropping-particle":"","parse-names":false,"suffix":""}],"edition":"Second Edi","id":"ITEM-1","issued":{"date-parts":[["2014"]]},"publisher":"FSC Publications","publisher-place":"Telford, UK","title":"A key to the major groups of British terrestrial invertebrates","type":"book"},"uris":["http://www.mendeley.com/documents/?uuid=1c240dc1-afc6-4a94-825c-42916f340dba"]}],"mendeley":{"formattedCitation":"(Tilling, 2014)","plainTextFormattedCitation":"(Tilling, 2014)","previouslyFormattedCitation":"(Tilling, 2014)"},"properties":{"noteIndex":0},"schema":"https://github.com/citation-style-language/schema/raw/master/csl-citation.json"}</w:instrText>
      </w:r>
      <w:r w:rsidRPr="008D0EFE">
        <w:rPr>
          <w:rFonts w:ascii="Courier New" w:hAnsi="Courier New" w:cs="Courier New"/>
        </w:rPr>
        <w:fldChar w:fldCharType="separate"/>
      </w:r>
      <w:r w:rsidRPr="008D0EFE">
        <w:rPr>
          <w:rFonts w:ascii="Courier New" w:hAnsi="Courier New" w:cs="Courier New"/>
        </w:rPr>
        <w:t>(Tilling, 2014)</w:t>
      </w:r>
      <w:r w:rsidRPr="008D0EFE">
        <w:rPr>
          <w:rFonts w:ascii="Courier New" w:hAnsi="Courier New" w:cs="Courier New"/>
        </w:rPr>
        <w:fldChar w:fldCharType="end"/>
      </w:r>
      <w:r w:rsidRPr="008D0EFE">
        <w:rPr>
          <w:rFonts w:ascii="Courier New" w:hAnsi="Courier New" w:cs="Courier New"/>
        </w:rPr>
        <w:t>.</w:t>
      </w:r>
    </w:p>
    <w:p w14:paraId="51DDEBDE" w14:textId="77777777" w:rsidR="008D0EFE" w:rsidRPr="008D0EFE" w:rsidRDefault="008D0EFE" w:rsidP="008D0EFE">
      <w:pPr>
        <w:rPr>
          <w:rFonts w:ascii="Courier New" w:hAnsi="Courier New" w:cs="Courier New"/>
        </w:rPr>
      </w:pPr>
    </w:p>
    <w:p w14:paraId="49AE759F" w14:textId="77777777" w:rsidR="008D0EFE" w:rsidRPr="008D0EFE" w:rsidRDefault="008D0EFE" w:rsidP="008D0EFE">
      <w:pPr>
        <w:rPr>
          <w:rStyle w:val="SubtleEmphasis"/>
          <w:rFonts w:ascii="Courier New" w:hAnsi="Courier New" w:cs="Courier New"/>
          <w:i w:val="0"/>
          <w:iCs w:val="0"/>
        </w:rPr>
      </w:pPr>
      <w:r w:rsidRPr="008D0EFE">
        <w:rPr>
          <w:rStyle w:val="SubtleEmphasis"/>
          <w:rFonts w:ascii="Courier New" w:hAnsi="Courier New" w:cs="Courier New"/>
        </w:rPr>
        <w:t>Root biomass</w:t>
      </w:r>
    </w:p>
    <w:p w14:paraId="44E323A9" w14:textId="77777777" w:rsidR="008D0EFE" w:rsidRPr="008D0EFE" w:rsidRDefault="008D0EFE" w:rsidP="008D0EFE">
      <w:pPr>
        <w:rPr>
          <w:rFonts w:ascii="Courier New" w:eastAsia="Times New Roman" w:hAnsi="Courier New" w:cs="Courier New"/>
          <w:sz w:val="18"/>
          <w:szCs w:val="18"/>
          <w:lang w:eastAsia="en-GB"/>
        </w:rPr>
      </w:pPr>
      <w:r w:rsidRPr="008D0EFE">
        <w:rPr>
          <w:rFonts w:ascii="Courier New" w:eastAsia="Times New Roman" w:hAnsi="Courier New" w:cs="Courier New"/>
          <w:lang w:eastAsia="en-GB"/>
        </w:rPr>
        <w:t>Soil cores (8cm diameter) were taken at the CRU well-watered site only over 4 depths (0-15cm, 15-30cm, 30-45cm, 45-60cm) in the autumn of 2019, three years after plot establishment. Soil cores were emersed in water and soaked for 24 hours to ease the separation of roots from the soil. Roots were washed clean of soil and then dried at 50</w:t>
      </w:r>
      <w:r w:rsidRPr="008D0EFE">
        <w:rPr>
          <w:rFonts w:ascii="Courier New" w:eastAsia="Times New Roman" w:hAnsi="Courier New" w:cs="Courier New"/>
          <w:vertAlign w:val="superscript"/>
          <w:lang w:eastAsia="en-GB"/>
        </w:rPr>
        <w:t>o</w:t>
      </w:r>
      <w:r w:rsidRPr="008D0EFE">
        <w:rPr>
          <w:rFonts w:ascii="Courier New" w:eastAsia="Times New Roman" w:hAnsi="Courier New" w:cs="Courier New"/>
          <w:lang w:eastAsia="en-GB"/>
        </w:rPr>
        <w:t>C to constant weight for dry biomass measurements.</w:t>
      </w:r>
    </w:p>
    <w:p w14:paraId="58DBEE7F" w14:textId="77777777" w:rsidR="008D0EFE" w:rsidRPr="008D0EFE" w:rsidRDefault="008D0EFE" w:rsidP="008D0EFE">
      <w:pPr>
        <w:rPr>
          <w:rFonts w:ascii="Courier New" w:hAnsi="Courier New" w:cs="Courier New"/>
        </w:rPr>
      </w:pPr>
    </w:p>
    <w:p w14:paraId="085971C1" w14:textId="77777777" w:rsidR="008D0EFE" w:rsidRPr="008D0EFE" w:rsidRDefault="008D0EFE" w:rsidP="008D0EFE">
      <w:pPr>
        <w:rPr>
          <w:rFonts w:ascii="Courier New" w:hAnsi="Courier New" w:cs="Courier New"/>
        </w:rPr>
      </w:pPr>
      <w:r w:rsidRPr="008D0EFE">
        <w:rPr>
          <w:rFonts w:ascii="Courier New" w:hAnsi="Courier New" w:cs="Courier New"/>
        </w:rPr>
        <w:t>AMF colonisation</w:t>
      </w:r>
    </w:p>
    <w:p w14:paraId="6A6DB700" w14:textId="77777777" w:rsidR="008D0EFE" w:rsidRPr="008D0EFE" w:rsidRDefault="008D0EFE" w:rsidP="008D0EFE">
      <w:pPr>
        <w:rPr>
          <w:rFonts w:ascii="Courier New" w:hAnsi="Courier New" w:cs="Courier New"/>
        </w:rPr>
      </w:pPr>
      <w:r w:rsidRPr="008D0EFE">
        <w:rPr>
          <w:rFonts w:ascii="Courier New" w:hAnsi="Courier New" w:cs="Courier New"/>
        </w:rPr>
        <w:t>Sterile sand (Sibelco UK Ltd) absorbent clay substrate was created as 4 parts sand to 1 part Terra Green (Oil Dri UK), with 0.025 g/kg calcium hydrogen orthophosphate and 10% deionised water. The mixture was autoclaved at 105</w:t>
      </w:r>
      <w:r w:rsidRPr="008D0EFE">
        <w:rPr>
          <w:rFonts w:ascii="Courier New" w:hAnsi="Courier New" w:cs="Courier New"/>
          <w:vertAlign w:val="superscript"/>
        </w:rPr>
        <w:t>o</w:t>
      </w:r>
      <w:r w:rsidRPr="008D0EFE">
        <w:rPr>
          <w:rFonts w:ascii="Courier New" w:hAnsi="Courier New" w:cs="Courier New"/>
        </w:rPr>
        <w:t>C for 1 hour, rested for 24 hours then autoclaved again at 105</w:t>
      </w:r>
      <w:r w:rsidRPr="008D0EFE">
        <w:rPr>
          <w:rFonts w:ascii="Courier New" w:hAnsi="Courier New" w:cs="Courier New"/>
          <w:vertAlign w:val="superscript"/>
        </w:rPr>
        <w:t>o</w:t>
      </w:r>
      <w:r w:rsidRPr="008D0EFE">
        <w:rPr>
          <w:rFonts w:ascii="Courier New" w:hAnsi="Courier New" w:cs="Courier New"/>
        </w:rPr>
        <w:t>C for 1 hour. Five-centimetre diameter hydroponic pots were placed within the same size closed bottom cups and each was filled with 140g of the sterile substrate. Afterwards, 14ml deionised water and 20mg ryegrass seeds (Cotswold Seeds Ltd, UK) were added at 1cm depth into the substrate.</w:t>
      </w:r>
    </w:p>
    <w:p w14:paraId="0E127C8E" w14:textId="77777777" w:rsidR="008D0EFE" w:rsidRPr="008D0EFE" w:rsidRDefault="008D0EFE" w:rsidP="008D0EFE">
      <w:pPr>
        <w:rPr>
          <w:rFonts w:ascii="Courier New" w:hAnsi="Courier New" w:cs="Courier New"/>
        </w:rPr>
      </w:pPr>
    </w:p>
    <w:p w14:paraId="7641093B" w14:textId="77777777" w:rsidR="008D0EFE" w:rsidRPr="008D0EFE" w:rsidRDefault="008D0EFE" w:rsidP="008D0EFE">
      <w:pPr>
        <w:rPr>
          <w:rFonts w:ascii="Courier New" w:hAnsi="Courier New" w:cs="Courier New"/>
        </w:rPr>
      </w:pPr>
      <w:r w:rsidRPr="008D0EFE">
        <w:rPr>
          <w:rFonts w:ascii="Courier New" w:hAnsi="Courier New" w:cs="Courier New"/>
        </w:rPr>
        <w:t>Five pots per sunbag (Sigma-Aldrich Inc., Germany) were placed in a growth cabinet set to 22</w:t>
      </w:r>
      <w:r w:rsidRPr="008D0EFE">
        <w:rPr>
          <w:rFonts w:ascii="Courier New" w:hAnsi="Courier New" w:cs="Courier New"/>
          <w:vertAlign w:val="superscript"/>
        </w:rPr>
        <w:t>o</w:t>
      </w:r>
      <w:r w:rsidRPr="008D0EFE">
        <w:rPr>
          <w:rFonts w:ascii="Courier New" w:hAnsi="Courier New" w:cs="Courier New"/>
        </w:rPr>
        <w:t>C 16-hour days and 15</w:t>
      </w:r>
      <w:r w:rsidRPr="008D0EFE">
        <w:rPr>
          <w:rFonts w:ascii="Courier New" w:hAnsi="Courier New" w:cs="Courier New"/>
          <w:vertAlign w:val="superscript"/>
        </w:rPr>
        <w:t>o</w:t>
      </w:r>
      <w:r w:rsidRPr="008D0EFE">
        <w:rPr>
          <w:rFonts w:ascii="Courier New" w:hAnsi="Courier New" w:cs="Courier New"/>
        </w:rPr>
        <w:t>C 8-hour nights at 75% humidity for 1 month. Sunbags are transparent plastic bags with 0.02µm pores to enable plant growth and prevent contamination from the external environment, in this instance, the sunbags were used to prevent fungal contamination. Pots were fertilised with 1ml Long Ashton solution, a nutrient solution which contains no phosphorus, and 1ml deionised water twice over the 4 weeks the plants were in the growth cabinets. One ryegrass pot per sun bag was checked for mycorrhizal colonisation to confirm ryegrass plants free from mycorrhiza were planted in the field. All plants were removed from the growth cabinet and given one week to acclimate to ambient conditions in a sheltered outdoor space while remaining in the sun bags to ensure no mycorrhiza colonisation before planting in the field. In late March 2020, three and a half years after establishing the plots, two trap-plants per plot were planted at the two CRU sites only (</w:t>
      </w:r>
      <w:r w:rsidRPr="008D0EFE">
        <w:rPr>
          <w:rFonts w:ascii="Courier New" w:hAnsi="Courier New" w:cs="Courier New"/>
          <w:i/>
          <w:iCs/>
        </w:rPr>
        <w:t>N</w:t>
      </w:r>
      <w:r w:rsidRPr="008D0EFE">
        <w:rPr>
          <w:rFonts w:ascii="Courier New" w:hAnsi="Courier New" w:cs="Courier New"/>
        </w:rPr>
        <w:t xml:space="preserve">=64). Ryegrass trap-plants were removed from the closed-bottom pots but retained in the hydroponic pots and sterile substrate. Plants were given 5ml deionised water upon planting and monitored to ensure field establishment. Monitoring of the trap-plants continued through the spring and summer 2020. </w:t>
      </w:r>
    </w:p>
    <w:p w14:paraId="380C1EBC" w14:textId="77777777" w:rsidR="008D0EFE" w:rsidRPr="008D0EFE" w:rsidRDefault="008D0EFE" w:rsidP="008D0EFE">
      <w:pPr>
        <w:rPr>
          <w:rFonts w:ascii="Courier New" w:hAnsi="Courier New" w:cs="Courier New"/>
        </w:rPr>
      </w:pPr>
    </w:p>
    <w:p w14:paraId="4403E757" w14:textId="77777777" w:rsidR="008D0EFE" w:rsidRPr="008D0EFE" w:rsidRDefault="008D0EFE" w:rsidP="008D0EFE">
      <w:pPr>
        <w:rPr>
          <w:rFonts w:ascii="Courier New" w:hAnsi="Courier New" w:cs="Courier New"/>
        </w:rPr>
      </w:pPr>
      <w:r w:rsidRPr="008D0EFE">
        <w:rPr>
          <w:rFonts w:ascii="Courier New" w:hAnsi="Courier New" w:cs="Courier New"/>
        </w:rPr>
        <w:lastRenderedPageBreak/>
        <w:t>Trap-plants, retained within their hydroponic pots, and an extra 5x5x5cm of soil from below the hydroponic pots to cover new root growth were extracted from the CRU plots in early October 2020 using a trowel sterilised in 1% virucidal disinfectant Virkon S (Lanxess, Cologne, Germany). Trap-plant and associated soil were kept at 4</w:t>
      </w:r>
      <w:r w:rsidRPr="008D0EFE">
        <w:rPr>
          <w:rFonts w:ascii="Courier New" w:hAnsi="Courier New" w:cs="Courier New"/>
          <w:vertAlign w:val="superscript"/>
        </w:rPr>
        <w:t>o</w:t>
      </w:r>
      <w:r w:rsidRPr="008D0EFE">
        <w:rPr>
          <w:rFonts w:ascii="Courier New" w:hAnsi="Courier New" w:cs="Courier New"/>
        </w:rPr>
        <w:t>C before processing.</w:t>
      </w:r>
    </w:p>
    <w:p w14:paraId="64CED4A9" w14:textId="77777777" w:rsidR="008D0EFE" w:rsidRPr="008D0EFE" w:rsidRDefault="008D0EFE" w:rsidP="008D0EFE">
      <w:pPr>
        <w:rPr>
          <w:rFonts w:ascii="Courier New" w:hAnsi="Courier New" w:cs="Courier New"/>
        </w:rPr>
      </w:pPr>
    </w:p>
    <w:p w14:paraId="6DC15259" w14:textId="77777777" w:rsidR="008D0EFE" w:rsidRPr="008D0EFE" w:rsidRDefault="008D0EFE" w:rsidP="008D0EFE">
      <w:pPr>
        <w:rPr>
          <w:rFonts w:ascii="Courier New" w:hAnsi="Courier New" w:cs="Courier New"/>
        </w:rPr>
      </w:pPr>
      <w:r w:rsidRPr="008D0EFE">
        <w:rPr>
          <w:rFonts w:ascii="Courier New" w:hAnsi="Courier New" w:cs="Courier New"/>
        </w:rPr>
        <w:t xml:space="preserve">Roots were washed free of soil, placed in 10% KOH, and left at room temperature for 3 days. Roots were then rinsed with deionised water and stained with Ink/Vinegar solution (1-part Shaeffer black ink to 19 parts white vinegar) for 1 hour at room temperature. Roots were rinsed again using deionised water and stored in lactoglycerol (1-part lactic acid, 2 parts glycerol, 1 part water; </w:t>
      </w:r>
      <w:r w:rsidRPr="008D0EFE">
        <w:rPr>
          <w:rFonts w:ascii="Courier New" w:hAnsi="Courier New" w:cs="Courier New"/>
        </w:rPr>
        <w:fldChar w:fldCharType="begin" w:fldLock="1"/>
      </w:r>
      <w:r w:rsidRPr="008D0EFE">
        <w:rPr>
          <w:rFonts w:ascii="Courier New" w:hAnsi="Courier New" w:cs="Courier New"/>
        </w:rPr>
        <w:instrText>ADDIN CSL_CITATION {"citationItems":[{"id":"ITEM-1","itemData":{"DOI":"10.23986/afsci.72701","ISSN":"1459-6067","abstract":"Trials and experiments were carried out to develop and test a simple and inexpensive method for producing and maintaining pot cultures of arbuscular mycorrhizal fungi. A commercially available, transparent bag, incorporating a micro-filter to allow gaseous exchange, was successfully tested, and found to satisfy the basic requirements of low cost, ready availability, ease of use, and adaptability. Pot cultures were produced and maintained in various substrates with several different plants. The system can be used for producing trap cultures, or for initiating and maintaining pure (multi- and single-spore) ramets of mycorrhizal members of the Glomales in growth chambers and greenhouses. As well as providing a means for maintaining fungal ramet purity, the system has the advantage of requiring less watering and maintenance than open pot cultures.","author":[{"dropping-particle":"","family":"Walker","given":"Christopher","non-dropping-particle":"","parse-names":false,"suffix":""},{"dropping-particle":"","family":"Vestberg","given":"Mauritz","non-dropping-particle":"","parse-names":false,"suffix":""}],"container-title":"Agricultural and Food Science","id":"ITEM-1","issue":"3","issued":{"date-parts":[["1994"]]},"page":"233-240","title":"A simple and inexpensive method for producing and maintaining closed pot cultures of arbuscular mycorrhizal fungi","type":"article-journal","volume":"3"},"uris":["http://www.mendeley.com/documents/?uuid=ba5c0c7d-4563-4394-a084-f8babe56bf21"]}],"mendeley":{"formattedCitation":"(Walker and Vestberg, 1994)","manualFormatting":"Walker &amp; Vestberg, 1994)","plainTextFormattedCitation":"(Walker and Vestberg, 1994)","previouslyFormattedCitation":"(Walker and Vestberg, 1994)"},"properties":{"noteIndex":0},"schema":"https://github.com/citation-style-language/schema/raw/master/csl-citation.json"}</w:instrText>
      </w:r>
      <w:r w:rsidRPr="008D0EFE">
        <w:rPr>
          <w:rFonts w:ascii="Courier New" w:hAnsi="Courier New" w:cs="Courier New"/>
        </w:rPr>
        <w:fldChar w:fldCharType="separate"/>
      </w:r>
      <w:r w:rsidRPr="008D0EFE">
        <w:rPr>
          <w:rFonts w:ascii="Courier New" w:hAnsi="Courier New" w:cs="Courier New"/>
        </w:rPr>
        <w:t>Walker &amp; Vestberg, 1994)</w:t>
      </w:r>
      <w:r w:rsidRPr="008D0EFE">
        <w:rPr>
          <w:rFonts w:ascii="Courier New" w:hAnsi="Courier New" w:cs="Courier New"/>
        </w:rPr>
        <w:fldChar w:fldCharType="end"/>
      </w:r>
      <w:r w:rsidRPr="008D0EFE">
        <w:rPr>
          <w:rFonts w:ascii="Courier New" w:hAnsi="Courier New" w:cs="Courier New"/>
        </w:rPr>
        <w:t xml:space="preserve">. Percentage root AMF colonisation was measured using the grid line intersect method </w:t>
      </w:r>
      <w:r w:rsidRPr="008D0EFE">
        <w:rPr>
          <w:rFonts w:ascii="Courier New" w:hAnsi="Courier New" w:cs="Courier New"/>
        </w:rPr>
        <w:fldChar w:fldCharType="begin" w:fldLock="1"/>
      </w:r>
      <w:r w:rsidRPr="008D0EFE">
        <w:rPr>
          <w:rFonts w:ascii="Courier New" w:hAnsi="Courier New" w:cs="Courier New"/>
        </w:rPr>
        <w:instrText>ADDIN CSL_CITATION {"citationItems":[{"id":"ITEM-1","itemData":{"DOI":"10.1111/j.1469-8137.1980.tb04556.x","ISBN":"0028-646X","ISSN":"0028646X","abstract":"An Evaluation of Techniques for Measuring Vesicular Arbuscular Mycorrhizal Infection in Roots","author":[{"dropping-particle":"","family":"Giovannetti","given":"M.","non-dropping-particle":"","parse-names":false,"suffix":""},{"dropping-particle":"","family":"Mosse","given":"B.","non-dropping-particle":"","parse-names":false,"suffix":""}],"container-title":"New Phytologist","id":"ITEM-1","issue":"84","issued":{"date-parts":[["1980"]]},"page":"489-500","title":"An evaluation of techniques for measuring vesicular arbuscular mycorrhizal infection in roots","type":"article"},"uris":["http://www.mendeley.com/documents/?uuid=6df380bd-c8c4-4de0-92f5-e82951567c45"]}],"mendeley":{"formattedCitation":"(Giovannetti and Mosse, 1980a)","manualFormatting":"(Giovannetti and Mosse, 1980)","plainTextFormattedCitation":"(Giovannetti and Mosse, 1980a)","previouslyFormattedCitation":"(Giovannetti and Mosse, 1980a)"},"properties":{"noteIndex":0},"schema":"https://github.com/citation-style-language/schema/raw/master/csl-citation.json"}</w:instrText>
      </w:r>
      <w:r w:rsidRPr="008D0EFE">
        <w:rPr>
          <w:rFonts w:ascii="Courier New" w:hAnsi="Courier New" w:cs="Courier New"/>
        </w:rPr>
        <w:fldChar w:fldCharType="separate"/>
      </w:r>
      <w:r w:rsidRPr="008D0EFE">
        <w:rPr>
          <w:rFonts w:ascii="Courier New" w:hAnsi="Courier New" w:cs="Courier New"/>
        </w:rPr>
        <w:t>(Giovannetti and Mosse, 1980)</w:t>
      </w:r>
      <w:r w:rsidRPr="008D0EFE">
        <w:rPr>
          <w:rFonts w:ascii="Courier New" w:hAnsi="Courier New" w:cs="Courier New"/>
        </w:rPr>
        <w:fldChar w:fldCharType="end"/>
      </w:r>
      <w:r w:rsidRPr="008D0EFE">
        <w:rPr>
          <w:rFonts w:ascii="Courier New" w:hAnsi="Courier New" w:cs="Courier New"/>
        </w:rPr>
        <w:t xml:space="preserve"> with a compound microscope.</w:t>
      </w:r>
    </w:p>
    <w:p w14:paraId="2C81234F" w14:textId="77777777" w:rsidR="008D0EFE" w:rsidRPr="008D0EFE" w:rsidRDefault="008D0EFE" w:rsidP="008D0EFE">
      <w:pPr>
        <w:rPr>
          <w:rFonts w:ascii="Courier New" w:hAnsi="Courier New" w:cs="Courier New"/>
        </w:rPr>
      </w:pPr>
    </w:p>
    <w:p w14:paraId="713454A7" w14:textId="77777777" w:rsidR="008D0EFE" w:rsidRPr="008D0EFE" w:rsidRDefault="008D0EFE" w:rsidP="008D0EFE">
      <w:pPr>
        <w:rPr>
          <w:rFonts w:ascii="Courier New" w:hAnsi="Courier New" w:cs="Courier New"/>
        </w:rPr>
      </w:pPr>
      <w:r w:rsidRPr="008D0EFE">
        <w:rPr>
          <w:rFonts w:ascii="Courier New" w:hAnsi="Courier New" w:cs="Courier New"/>
        </w:rPr>
        <w:t>Soil chemistry</w:t>
      </w:r>
    </w:p>
    <w:p w14:paraId="7FA08B64" w14:textId="77777777" w:rsidR="008D0EFE" w:rsidRPr="008D0EFE" w:rsidRDefault="008D0EFE" w:rsidP="008D0EFE">
      <w:pPr>
        <w:rPr>
          <w:rFonts w:ascii="Courier New" w:hAnsi="Courier New" w:cs="Courier New"/>
        </w:rPr>
      </w:pPr>
      <w:r w:rsidRPr="008D0EFE">
        <w:rPr>
          <w:rFonts w:ascii="Courier New" w:hAnsi="Courier New" w:cs="Courier New"/>
        </w:rPr>
        <w:t>Three 10cm deep soil cores were taken in late spring 2020 from e</w:t>
      </w:r>
      <w:r w:rsidRPr="008D0EFE">
        <w:rPr>
          <w:rFonts w:ascii="Courier New" w:hAnsi="Courier New" w:cs="Courier New"/>
          <w:lang w:eastAsia="en-GB"/>
        </w:rPr>
        <w:t>ach plot at CRU only and mixed to create a composite sample. For soil moisture, a subsample of fresh soil was weighed, heated at 105</w:t>
      </w:r>
      <w:r w:rsidRPr="008D0EFE">
        <w:rPr>
          <w:rFonts w:ascii="Courier New" w:hAnsi="Courier New" w:cs="Courier New"/>
          <w:vertAlign w:val="superscript"/>
          <w:lang w:eastAsia="en-GB"/>
        </w:rPr>
        <w:t>o</w:t>
      </w:r>
      <w:r w:rsidRPr="008D0EFE">
        <w:rPr>
          <w:rFonts w:ascii="Courier New" w:hAnsi="Courier New" w:cs="Courier New"/>
          <w:lang w:eastAsia="en-GB"/>
        </w:rPr>
        <w:t xml:space="preserve">C for 24 hours and reweighed. Soils were dried, passed through a 2mm sieve, and sent to </w:t>
      </w:r>
      <w:r w:rsidRPr="008D0EFE">
        <w:rPr>
          <w:rFonts w:ascii="Courier New" w:hAnsi="Courier New" w:cs="Courier New"/>
        </w:rPr>
        <w:t>NRM Laboratories (Cawood Scientific Limited, Bracknell, UK) for full soil chemical analysis. The analysis included pH measured in water [1:2.5], and available phosphorus determined through sodium bicarbonate extractable Olsens and calculated colour-metrically. Ammonium nitrate extractable method was used to determine soil available potassium and magnesium, and determined by ICP-OES. Loss on ignition at 430</w:t>
      </w:r>
      <w:r w:rsidRPr="008D0EFE">
        <w:rPr>
          <w:rFonts w:ascii="Courier New" w:hAnsi="Courier New" w:cs="Courier New"/>
          <w:vertAlign w:val="superscript"/>
        </w:rPr>
        <w:t>o</w:t>
      </w:r>
      <w:r w:rsidRPr="008D0EFE">
        <w:rPr>
          <w:rFonts w:ascii="Courier New" w:hAnsi="Courier New" w:cs="Courier New"/>
        </w:rPr>
        <w:t>C was used for OM, and total nitrogen and total carbon were determined through the Dumas method.</w:t>
      </w:r>
    </w:p>
    <w:p w14:paraId="4D107DED" w14:textId="77777777" w:rsidR="008D0EFE" w:rsidRPr="008D0EFE" w:rsidRDefault="008D0EFE" w:rsidP="008D0EFE">
      <w:pPr>
        <w:rPr>
          <w:rStyle w:val="normaltextrun"/>
          <w:rFonts w:ascii="Courier New" w:hAnsi="Courier New" w:cs="Courier New"/>
        </w:rPr>
      </w:pPr>
    </w:p>
    <w:p w14:paraId="0CBBDE05"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Soil sampling</w:t>
      </w:r>
    </w:p>
    <w:p w14:paraId="1E410F08" w14:textId="77777777" w:rsidR="008D0EFE" w:rsidRPr="008D0EFE" w:rsidRDefault="008D0EFE" w:rsidP="008D0EFE">
      <w:pPr>
        <w:rPr>
          <w:rFonts w:ascii="Courier New" w:hAnsi="Courier New" w:cs="Courier New"/>
        </w:rPr>
      </w:pPr>
      <w:r w:rsidRPr="008D0EFE">
        <w:rPr>
          <w:rFonts w:ascii="Courier New" w:hAnsi="Courier New" w:cs="Courier New"/>
        </w:rPr>
        <w:t>Five 10cm deep soil cores were taken in a W pattern per plot and mixed to create a composite sample; this was repeated three times for the three different analyses required. The soil corer was sprayed with a 1% virucidal disinfectant Virkon (Lanxess, Cologne, Germany) and rinsed with deionised water between plots for aseptic sampling. Soil samples destined for DNA analysis were taken in September 2020, four years after plot establishment, and frozen at -20</w:t>
      </w:r>
      <w:r w:rsidRPr="008D0EFE">
        <w:rPr>
          <w:rFonts w:ascii="Courier New" w:hAnsi="Courier New" w:cs="Courier New"/>
          <w:vertAlign w:val="superscript"/>
        </w:rPr>
        <w:t>o</w:t>
      </w:r>
      <w:r w:rsidRPr="008D0EFE">
        <w:rPr>
          <w:rFonts w:ascii="Courier New" w:hAnsi="Courier New" w:cs="Courier New"/>
        </w:rPr>
        <w:t xml:space="preserve">C before further analysis. Samples for the </w:t>
      </w:r>
      <w:r w:rsidRPr="008D0EFE">
        <w:rPr>
          <w:rFonts w:ascii="Courier New" w:hAnsi="Courier New" w:cs="Courier New"/>
          <w:lang w:eastAsia="en-GB"/>
        </w:rPr>
        <w:t>MicroResp</w:t>
      </w:r>
      <w:r w:rsidRPr="008D0EFE">
        <w:rPr>
          <w:rFonts w:ascii="Courier New" w:hAnsi="Courier New" w:cs="Courier New"/>
          <w:vertAlign w:val="superscript"/>
          <w:lang w:eastAsia="en-GB"/>
        </w:rPr>
        <w:t>TM</w:t>
      </w:r>
      <w:r w:rsidRPr="008D0EFE">
        <w:rPr>
          <w:rFonts w:ascii="Courier New" w:hAnsi="Courier New" w:cs="Courier New"/>
          <w:lang w:eastAsia="en-GB"/>
        </w:rPr>
        <w:t xml:space="preserve"> experiment to measure soil microbial functional diversity and chemical analysis were taken in July 2021. Samples destined for the MicroResp</w:t>
      </w:r>
      <w:r w:rsidRPr="008D0EFE">
        <w:rPr>
          <w:rFonts w:ascii="Courier New" w:hAnsi="Courier New" w:cs="Courier New"/>
          <w:vertAlign w:val="superscript"/>
          <w:lang w:eastAsia="en-GB"/>
        </w:rPr>
        <w:t>TM</w:t>
      </w:r>
      <w:r w:rsidRPr="008D0EFE">
        <w:rPr>
          <w:rFonts w:ascii="Courier New" w:hAnsi="Courier New" w:cs="Courier New"/>
          <w:lang w:eastAsia="en-GB"/>
        </w:rPr>
        <w:t xml:space="preserve"> were 2mm sieved for homogenisation and stored at 4</w:t>
      </w:r>
      <w:r w:rsidRPr="008D0EFE">
        <w:rPr>
          <w:rFonts w:ascii="Courier New" w:hAnsi="Courier New" w:cs="Courier New"/>
          <w:vertAlign w:val="superscript"/>
          <w:lang w:eastAsia="en-GB"/>
        </w:rPr>
        <w:t>o</w:t>
      </w:r>
      <w:r w:rsidRPr="008D0EFE">
        <w:rPr>
          <w:rFonts w:ascii="Courier New" w:hAnsi="Courier New" w:cs="Courier New"/>
          <w:lang w:eastAsia="en-GB"/>
        </w:rPr>
        <w:t xml:space="preserve">C for 72 hours. Subsamples were taken for water holding capacity (WHC) and soil moisture measurements. Briefly, a subsample of fresh soil was saturated in water overnight and allowed to drain for 8 hours the </w:t>
      </w:r>
      <w:r w:rsidRPr="008D0EFE">
        <w:rPr>
          <w:rFonts w:ascii="Courier New" w:hAnsi="Courier New" w:cs="Courier New"/>
          <w:lang w:eastAsia="en-GB"/>
        </w:rPr>
        <w:lastRenderedPageBreak/>
        <w:t>next day. A weighted subsample of soil was placed in an oven set to 105</w:t>
      </w:r>
      <w:r w:rsidRPr="008D0EFE">
        <w:rPr>
          <w:rFonts w:ascii="Courier New" w:hAnsi="Courier New" w:cs="Courier New"/>
          <w:vertAlign w:val="superscript"/>
          <w:lang w:eastAsia="en-GB"/>
        </w:rPr>
        <w:t>o</w:t>
      </w:r>
      <w:r w:rsidRPr="008D0EFE">
        <w:rPr>
          <w:rFonts w:ascii="Courier New" w:hAnsi="Courier New" w:cs="Courier New"/>
          <w:lang w:eastAsia="en-GB"/>
        </w:rPr>
        <w:t>C until no further water loss occurred (24 hours). Dried soil was reweighed to work out WHC. For soil moisture, a subsample of fresh soil was weighed, heated at 105</w:t>
      </w:r>
      <w:r w:rsidRPr="008D0EFE">
        <w:rPr>
          <w:rFonts w:ascii="Courier New" w:hAnsi="Courier New" w:cs="Courier New"/>
          <w:vertAlign w:val="superscript"/>
          <w:lang w:eastAsia="en-GB"/>
        </w:rPr>
        <w:t>o</w:t>
      </w:r>
      <w:r w:rsidRPr="008D0EFE">
        <w:rPr>
          <w:rFonts w:ascii="Courier New" w:hAnsi="Courier New" w:cs="Courier New"/>
          <w:lang w:eastAsia="en-GB"/>
        </w:rPr>
        <w:t xml:space="preserve">C for 24 hours and reweighed. Samples destined for chemical analysis had roots and stones removed, and soil was dried and ground before being sent to NRM Laboratories (Cawood Scientific Limited, Bracknell, UK). </w:t>
      </w:r>
    </w:p>
    <w:p w14:paraId="40EA55A3" w14:textId="77777777" w:rsidR="008D0EFE" w:rsidRPr="008D0EFE" w:rsidRDefault="008D0EFE" w:rsidP="008D0EFE">
      <w:pPr>
        <w:rPr>
          <w:rFonts w:ascii="Courier New" w:eastAsia="Times New Roman" w:hAnsi="Courier New" w:cs="Courier New"/>
          <w:lang w:eastAsia="en-GB"/>
        </w:rPr>
      </w:pPr>
    </w:p>
    <w:p w14:paraId="78E41CBD" w14:textId="77777777" w:rsidR="008D0EFE" w:rsidRPr="008D0EFE" w:rsidRDefault="008D0EFE" w:rsidP="008D0EFE">
      <w:pPr>
        <w:rPr>
          <w:rFonts w:ascii="Courier New" w:hAnsi="Courier New" w:cs="Courier New"/>
        </w:rPr>
      </w:pPr>
      <w:r w:rsidRPr="008D0EFE">
        <w:rPr>
          <w:rFonts w:ascii="Courier New" w:hAnsi="Courier New" w:cs="Courier New"/>
        </w:rPr>
        <w:t>Earthworms</w:t>
      </w:r>
    </w:p>
    <w:p w14:paraId="622F6649"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One random 20x20x20cm soil pit per plot was excavated in March 2020 at the dry and well-watered site three and a half years after sward establishment.</w:t>
      </w:r>
      <w:r w:rsidRPr="008D0EFE">
        <w:rPr>
          <w:rFonts w:ascii="Courier New" w:hAnsi="Courier New" w:cs="Courier New"/>
          <w:strike/>
          <w:lang w:eastAsia="en-GB"/>
        </w:rPr>
        <w:t xml:space="preserve"> </w:t>
      </w:r>
      <w:r w:rsidRPr="008D0EFE">
        <w:rPr>
          <w:rFonts w:ascii="Courier New" w:hAnsi="Courier New" w:cs="Courier New"/>
          <w:lang w:eastAsia="en-GB"/>
        </w:rPr>
        <w:t>Excavated soil was placed onto a 90cm x 40cm plastic sheet in the field, where the soil cube was gently teased apart for 15 minutes per pit to extract earthworms. Extracted earthworms were weighed, including half earthworms.</w:t>
      </w:r>
    </w:p>
    <w:p w14:paraId="4F73E073" w14:textId="77777777" w:rsidR="008D0EFE" w:rsidRPr="008D0EFE" w:rsidRDefault="008D0EFE" w:rsidP="008D0EFE">
      <w:pPr>
        <w:rPr>
          <w:rFonts w:ascii="Courier New" w:eastAsia="Times New Roman" w:hAnsi="Courier New" w:cs="Courier New"/>
          <w:lang w:eastAsia="en-GB"/>
        </w:rPr>
      </w:pPr>
    </w:p>
    <w:p w14:paraId="2B768521" w14:textId="77777777" w:rsidR="008D0EFE" w:rsidRPr="008D0EFE" w:rsidRDefault="008D0EFE" w:rsidP="008D0EFE">
      <w:pPr>
        <w:rPr>
          <w:rFonts w:ascii="Courier New" w:eastAsia="Times New Roman" w:hAnsi="Courier New" w:cs="Courier New"/>
          <w:lang w:eastAsia="en-GB"/>
        </w:rPr>
      </w:pPr>
      <w:r w:rsidRPr="008D0EFE">
        <w:rPr>
          <w:rFonts w:ascii="Courier New" w:eastAsia="Times New Roman" w:hAnsi="Courier New" w:cs="Courier New"/>
          <w:lang w:eastAsia="en-GB"/>
        </w:rPr>
        <w:t>Roots</w:t>
      </w:r>
    </w:p>
    <w:p w14:paraId="7CDE054C"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 xml:space="preserve">Soil cores (8cm diameter) were taken at the well-watered site at 4 depths (0-15cm, 15-30cm, 30-45cm, 45-60cm) in the autumn of 2019, three years after plot establishment. Soil cores were submerged in water and soaked for 24 hours to ease the separation of roots from the soil. Roots were washed clean of soil, suspended and spread in clean water in a clear plastic tray and scanned. Roots were dried at </w:t>
      </w:r>
      <w:r w:rsidRPr="008D0EFE">
        <w:rPr>
          <w:rFonts w:ascii="Courier New" w:hAnsi="Courier New" w:cs="Courier New"/>
          <w:szCs w:val="24"/>
          <w:lang w:eastAsia="en-GB"/>
        </w:rPr>
        <w:t>50</w:t>
      </w:r>
      <w:r w:rsidRPr="008D0EFE">
        <w:rPr>
          <w:rFonts w:ascii="Courier New" w:hAnsi="Courier New" w:cs="Courier New"/>
          <w:szCs w:val="24"/>
          <w:vertAlign w:val="superscript"/>
          <w:lang w:eastAsia="en-GB"/>
        </w:rPr>
        <w:t>o</w:t>
      </w:r>
      <w:r w:rsidRPr="008D0EFE">
        <w:rPr>
          <w:rFonts w:ascii="Courier New" w:hAnsi="Courier New" w:cs="Courier New"/>
          <w:szCs w:val="24"/>
          <w:lang w:eastAsia="en-GB"/>
        </w:rPr>
        <w:t>C</w:t>
      </w:r>
      <w:r w:rsidRPr="008D0EFE">
        <w:rPr>
          <w:rFonts w:ascii="Courier New" w:hAnsi="Courier New" w:cs="Courier New"/>
          <w:lang w:eastAsia="en-GB"/>
        </w:rPr>
        <w:t xml:space="preserve"> to constant weight for dry biomass measurements.</w:t>
      </w:r>
    </w:p>
    <w:p w14:paraId="6C7E2B4B" w14:textId="77777777" w:rsidR="008D0EFE" w:rsidRPr="008D0EFE" w:rsidRDefault="008D0EFE" w:rsidP="008D0EFE">
      <w:pPr>
        <w:rPr>
          <w:rFonts w:ascii="Courier New" w:hAnsi="Courier New" w:cs="Courier New"/>
          <w:lang w:eastAsia="en-GB"/>
        </w:rPr>
      </w:pPr>
    </w:p>
    <w:p w14:paraId="3F4FD1A9" w14:textId="4E675D21" w:rsidR="008D0EFE" w:rsidRPr="008D0EFE" w:rsidRDefault="008D0EFE" w:rsidP="008D0EFE">
      <w:pPr>
        <w:rPr>
          <w:rFonts w:ascii="Courier New" w:hAnsi="Courier New" w:cs="Courier New"/>
        </w:rPr>
      </w:pPr>
      <w:r w:rsidRPr="008D0EFE">
        <w:rPr>
          <w:rFonts w:ascii="Courier New" w:hAnsi="Courier New" w:cs="Courier New"/>
        </w:rPr>
        <w:t xml:space="preserve">WINRHIZO (Regent Instruments Canada Inc) software was used to process scanned images. Calibration using the object of known dimensions method was used to obtain accurate readings for the root surface area data outcomes. Batch image analyses was used with settings detailed in </w:t>
      </w:r>
      <w:r w:rsidRPr="008D0EFE">
        <w:rPr>
          <w:rFonts w:ascii="Courier New" w:hAnsi="Courier New" w:cs="Courier New"/>
        </w:rPr>
        <w:fldChar w:fldCharType="begin"/>
      </w:r>
      <w:r w:rsidRPr="008D0EFE">
        <w:rPr>
          <w:rFonts w:ascii="Courier New" w:hAnsi="Courier New" w:cs="Courier New"/>
        </w:rPr>
        <w:instrText xml:space="preserve"> REF _Ref124516216 \h  \* MERGEFORMAT </w:instrText>
      </w:r>
      <w:r w:rsidRPr="008D0EFE">
        <w:rPr>
          <w:rFonts w:ascii="Courier New" w:hAnsi="Courier New" w:cs="Courier New"/>
        </w:rPr>
      </w:r>
      <w:r w:rsidRPr="008D0EFE">
        <w:rPr>
          <w:rFonts w:ascii="Courier New" w:hAnsi="Courier New" w:cs="Courier New"/>
        </w:rPr>
        <w:fldChar w:fldCharType="separate"/>
      </w:r>
      <w:r w:rsidRPr="008D0EFE">
        <w:rPr>
          <w:rFonts w:ascii="Courier New" w:hAnsi="Courier New" w:cs="Courier New"/>
        </w:rPr>
        <w:t xml:space="preserve">Table </w:t>
      </w:r>
      <w:r w:rsidRPr="008D0EFE">
        <w:rPr>
          <w:rFonts w:ascii="Courier New" w:hAnsi="Courier New" w:cs="Courier New"/>
          <w:cs/>
        </w:rPr>
        <w:t>‎</w:t>
      </w:r>
      <w:r w:rsidRPr="008D0EFE">
        <w:rPr>
          <w:rFonts w:ascii="Courier New" w:hAnsi="Courier New" w:cs="Courier New"/>
        </w:rPr>
        <w:t>3</w:t>
      </w:r>
      <w:r w:rsidRPr="008D0EFE">
        <w:rPr>
          <w:rFonts w:ascii="Courier New" w:hAnsi="Courier New" w:cs="Courier New"/>
        </w:rPr>
        <w:fldChar w:fldCharType="end"/>
      </w:r>
      <w:r w:rsidRPr="008D0EFE">
        <w:rPr>
          <w:rFonts w:ascii="Courier New" w:hAnsi="Courier New" w:cs="Courier New"/>
        </w:rPr>
        <w:t>.</w:t>
      </w:r>
    </w:p>
    <w:p w14:paraId="742B0C25" w14:textId="77777777" w:rsidR="008D0EFE" w:rsidRPr="008D0EFE" w:rsidRDefault="008D0EFE" w:rsidP="008D0EFE">
      <w:pPr>
        <w:rPr>
          <w:rFonts w:ascii="Courier New" w:hAnsi="Courier New" w:cs="Courier New"/>
          <w:lang w:eastAsia="en-GB"/>
        </w:rPr>
      </w:pPr>
    </w:p>
    <w:p w14:paraId="327DD9C8" w14:textId="6DEC238E" w:rsidR="008D0EFE" w:rsidRPr="008D0EFE" w:rsidRDefault="008D0EFE" w:rsidP="008D0EFE">
      <w:pPr>
        <w:rPr>
          <w:rFonts w:ascii="Courier New" w:eastAsia="Times New Roman" w:hAnsi="Courier New" w:cs="Courier New"/>
          <w:i/>
          <w:iCs/>
          <w:lang w:eastAsia="en-GB"/>
        </w:rPr>
      </w:pPr>
      <w:bookmarkStart w:id="10" w:name="_Ref124516216"/>
      <w:bookmarkStart w:id="11" w:name="_Toc151117538"/>
      <w:r w:rsidRPr="008D0EFE">
        <w:rPr>
          <w:rFonts w:ascii="Courier New" w:hAnsi="Courier New" w:cs="Courier New"/>
        </w:rPr>
        <w:t xml:space="preserve">Table </w:t>
      </w:r>
      <w:r w:rsidRPr="008D0EFE">
        <w:rPr>
          <w:rFonts w:ascii="Courier New" w:hAnsi="Courier New" w:cs="Courier New"/>
        </w:rPr>
        <w:fldChar w:fldCharType="begin"/>
      </w:r>
      <w:r w:rsidRPr="008D0EFE">
        <w:rPr>
          <w:rFonts w:ascii="Courier New" w:hAnsi="Courier New" w:cs="Courier New"/>
        </w:rPr>
        <w:instrText xml:space="preserve"> STYLEREF 1 \s </w:instrText>
      </w:r>
      <w:r w:rsidRPr="008D0EFE">
        <w:rPr>
          <w:rFonts w:ascii="Courier New" w:hAnsi="Courier New" w:cs="Courier New"/>
        </w:rPr>
        <w:fldChar w:fldCharType="separate"/>
      </w:r>
      <w:r w:rsidRPr="008D0EFE">
        <w:rPr>
          <w:rFonts w:ascii="Courier New" w:hAnsi="Courier New" w:cs="Courier New"/>
          <w:cs/>
        </w:rPr>
        <w:t>‎</w:t>
      </w:r>
      <w:r w:rsidRPr="008D0EFE">
        <w:rPr>
          <w:rFonts w:ascii="Courier New" w:hAnsi="Courier New" w:cs="Courier New"/>
        </w:rPr>
        <w:t>3</w:t>
      </w:r>
      <w:r w:rsidRPr="008D0EFE">
        <w:rPr>
          <w:rFonts w:ascii="Courier New" w:hAnsi="Courier New" w:cs="Courier New"/>
        </w:rPr>
        <w:fldChar w:fldCharType="end"/>
      </w:r>
      <w:bookmarkEnd w:id="10"/>
      <w:r w:rsidRPr="008D0EFE">
        <w:rPr>
          <w:rFonts w:ascii="Courier New" w:hAnsi="Courier New" w:cs="Courier New"/>
        </w:rPr>
        <w:t xml:space="preserve"> </w:t>
      </w:r>
      <w:r w:rsidRPr="008D0EFE">
        <w:rPr>
          <w:rFonts w:ascii="Courier New" w:eastAsia="Times New Roman" w:hAnsi="Courier New" w:cs="Courier New"/>
          <w:lang w:eastAsia="en-GB"/>
        </w:rPr>
        <w:t>criteria settings for the WINRHIZO software (Regent Instruments Canada Inc) for root samples taken in the autumn of 2019 at the well-watered site</w:t>
      </w:r>
      <w:bookmarkEnd w:id="11"/>
    </w:p>
    <w:tbl>
      <w:tblPr>
        <w:tblW w:w="3090" w:type="dxa"/>
        <w:tblCellMar>
          <w:left w:w="0" w:type="dxa"/>
          <w:right w:w="0" w:type="dxa"/>
        </w:tblCellMar>
        <w:tblLook w:val="04A0" w:firstRow="1" w:lastRow="0" w:firstColumn="1" w:lastColumn="0" w:noHBand="0" w:noVBand="1"/>
      </w:tblPr>
      <w:tblGrid>
        <w:gridCol w:w="1901"/>
        <w:gridCol w:w="1189"/>
      </w:tblGrid>
      <w:tr w:rsidR="008D0EFE" w:rsidRPr="008D0EFE" w14:paraId="53018817" w14:textId="77777777" w:rsidTr="00A12E42">
        <w:tc>
          <w:tcPr>
            <w:tcW w:w="2039" w:type="dxa"/>
            <w:tcBorders>
              <w:top w:val="single" w:sz="4" w:space="0" w:color="auto"/>
              <w:bottom w:val="single" w:sz="4" w:space="0" w:color="auto"/>
            </w:tcBorders>
            <w:shd w:val="clear" w:color="auto" w:fill="auto"/>
            <w:hideMark/>
          </w:tcPr>
          <w:p w14:paraId="2118AEB1"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b/>
                <w:bCs/>
                <w:lang w:eastAsia="en-GB"/>
              </w:rPr>
              <w:t>Criteria</w:t>
            </w:r>
          </w:p>
        </w:tc>
        <w:tc>
          <w:tcPr>
            <w:tcW w:w="1051" w:type="dxa"/>
            <w:tcBorders>
              <w:top w:val="single" w:sz="4" w:space="0" w:color="auto"/>
              <w:bottom w:val="single" w:sz="4" w:space="0" w:color="auto"/>
            </w:tcBorders>
            <w:shd w:val="clear" w:color="auto" w:fill="auto"/>
            <w:hideMark/>
          </w:tcPr>
          <w:p w14:paraId="4AF27865"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b/>
                <w:bCs/>
                <w:lang w:eastAsia="en-GB"/>
              </w:rPr>
              <w:t>Setting</w:t>
            </w:r>
          </w:p>
        </w:tc>
      </w:tr>
      <w:tr w:rsidR="008D0EFE" w:rsidRPr="008D0EFE" w14:paraId="59DB60AC" w14:textId="77777777" w:rsidTr="00A12E42">
        <w:tc>
          <w:tcPr>
            <w:tcW w:w="2039" w:type="dxa"/>
            <w:tcBorders>
              <w:top w:val="single" w:sz="4" w:space="0" w:color="auto"/>
            </w:tcBorders>
            <w:shd w:val="clear" w:color="auto" w:fill="auto"/>
            <w:hideMark/>
          </w:tcPr>
          <w:p w14:paraId="7CCECC8B"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Greyscale</w:t>
            </w:r>
          </w:p>
        </w:tc>
        <w:tc>
          <w:tcPr>
            <w:tcW w:w="1051" w:type="dxa"/>
            <w:tcBorders>
              <w:top w:val="single" w:sz="4" w:space="0" w:color="auto"/>
            </w:tcBorders>
            <w:shd w:val="clear" w:color="auto" w:fill="auto"/>
            <w:hideMark/>
          </w:tcPr>
          <w:p w14:paraId="2489E9CF"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Yes</w:t>
            </w:r>
          </w:p>
        </w:tc>
      </w:tr>
      <w:tr w:rsidR="008D0EFE" w:rsidRPr="008D0EFE" w14:paraId="4E28C017" w14:textId="77777777" w:rsidTr="00A12E42">
        <w:tc>
          <w:tcPr>
            <w:tcW w:w="2039" w:type="dxa"/>
            <w:shd w:val="clear" w:color="auto" w:fill="auto"/>
            <w:hideMark/>
          </w:tcPr>
          <w:p w14:paraId="50188259"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Root and background</w:t>
            </w:r>
          </w:p>
        </w:tc>
        <w:tc>
          <w:tcPr>
            <w:tcW w:w="1051" w:type="dxa"/>
            <w:shd w:val="clear" w:color="auto" w:fill="auto"/>
            <w:hideMark/>
          </w:tcPr>
          <w:p w14:paraId="574D5E55"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Automatic</w:t>
            </w:r>
          </w:p>
        </w:tc>
      </w:tr>
      <w:tr w:rsidR="008D0EFE" w:rsidRPr="008D0EFE" w14:paraId="707AC451" w14:textId="77777777" w:rsidTr="00A12E42">
        <w:tc>
          <w:tcPr>
            <w:tcW w:w="2039" w:type="dxa"/>
            <w:shd w:val="clear" w:color="auto" w:fill="auto"/>
            <w:hideMark/>
          </w:tcPr>
          <w:p w14:paraId="0C5E0AB3"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Rough edges</w:t>
            </w:r>
          </w:p>
        </w:tc>
        <w:tc>
          <w:tcPr>
            <w:tcW w:w="1051" w:type="dxa"/>
            <w:shd w:val="clear" w:color="auto" w:fill="auto"/>
            <w:hideMark/>
          </w:tcPr>
          <w:p w14:paraId="0ECD2E6D"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Off</w:t>
            </w:r>
          </w:p>
        </w:tc>
      </w:tr>
      <w:tr w:rsidR="008D0EFE" w:rsidRPr="008D0EFE" w14:paraId="3560BD2A" w14:textId="77777777" w:rsidTr="00A12E42">
        <w:tc>
          <w:tcPr>
            <w:tcW w:w="2039" w:type="dxa"/>
            <w:shd w:val="clear" w:color="auto" w:fill="auto"/>
            <w:hideMark/>
          </w:tcPr>
          <w:p w14:paraId="30CA4486"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Debris</w:t>
            </w:r>
          </w:p>
        </w:tc>
        <w:tc>
          <w:tcPr>
            <w:tcW w:w="1051" w:type="dxa"/>
            <w:shd w:val="clear" w:color="auto" w:fill="auto"/>
            <w:hideMark/>
          </w:tcPr>
          <w:p w14:paraId="5AB38E23"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1.5</w:t>
            </w:r>
          </w:p>
        </w:tc>
      </w:tr>
      <w:tr w:rsidR="008D0EFE" w:rsidRPr="008D0EFE" w14:paraId="739AABE9" w14:textId="77777777" w:rsidTr="00A12E42">
        <w:tc>
          <w:tcPr>
            <w:tcW w:w="2039" w:type="dxa"/>
            <w:shd w:val="clear" w:color="auto" w:fill="auto"/>
            <w:hideMark/>
          </w:tcPr>
          <w:p w14:paraId="5B45D60A"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L:W</w:t>
            </w:r>
          </w:p>
        </w:tc>
        <w:tc>
          <w:tcPr>
            <w:tcW w:w="1051" w:type="dxa"/>
            <w:shd w:val="clear" w:color="auto" w:fill="auto"/>
            <w:hideMark/>
          </w:tcPr>
          <w:p w14:paraId="2131190C"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7.5</w:t>
            </w:r>
          </w:p>
        </w:tc>
      </w:tr>
      <w:tr w:rsidR="008D0EFE" w:rsidRPr="008D0EFE" w14:paraId="08B191FA" w14:textId="77777777" w:rsidTr="00A12E42">
        <w:tc>
          <w:tcPr>
            <w:tcW w:w="2039" w:type="dxa"/>
            <w:tcBorders>
              <w:bottom w:val="single" w:sz="4" w:space="0" w:color="auto"/>
            </w:tcBorders>
            <w:shd w:val="clear" w:color="auto" w:fill="auto"/>
            <w:hideMark/>
          </w:tcPr>
          <w:p w14:paraId="0FC1FF96"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lastRenderedPageBreak/>
              <w:t>Lagarde</w:t>
            </w:r>
          </w:p>
        </w:tc>
        <w:tc>
          <w:tcPr>
            <w:tcW w:w="1051" w:type="dxa"/>
            <w:tcBorders>
              <w:bottom w:val="single" w:sz="4" w:space="0" w:color="auto"/>
            </w:tcBorders>
            <w:shd w:val="clear" w:color="auto" w:fill="auto"/>
            <w:hideMark/>
          </w:tcPr>
          <w:p w14:paraId="2076CD60" w14:textId="77777777" w:rsidR="008D0EFE" w:rsidRPr="008D0EFE" w:rsidRDefault="008D0EFE" w:rsidP="008D0EFE">
            <w:pPr>
              <w:rPr>
                <w:rFonts w:ascii="Courier New" w:eastAsia="Times New Roman" w:hAnsi="Courier New" w:cs="Courier New"/>
                <w:sz w:val="24"/>
                <w:szCs w:val="24"/>
                <w:lang w:eastAsia="en-GB"/>
              </w:rPr>
            </w:pPr>
            <w:r w:rsidRPr="008D0EFE">
              <w:rPr>
                <w:rFonts w:ascii="Courier New" w:eastAsia="Times New Roman" w:hAnsi="Courier New" w:cs="Courier New"/>
                <w:lang w:eastAsia="en-GB"/>
              </w:rPr>
              <w:t>64 px</w:t>
            </w:r>
          </w:p>
        </w:tc>
      </w:tr>
    </w:tbl>
    <w:p w14:paraId="1F39DCD8" w14:textId="77777777" w:rsidR="008D0EFE" w:rsidRPr="008D0EFE" w:rsidRDefault="008D0EFE" w:rsidP="008D0EFE">
      <w:pPr>
        <w:rPr>
          <w:rFonts w:ascii="Courier New" w:hAnsi="Courier New" w:cs="Courier New"/>
          <w:lang w:eastAsia="en-GB"/>
        </w:rPr>
      </w:pPr>
    </w:p>
    <w:p w14:paraId="09DA06B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Aboveground biomass</w:t>
      </w:r>
    </w:p>
    <w:p w14:paraId="0C404F75"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Three 50x50cm quadrat cuts per plot were taken three times during the growing season, each time leaving a residual height of 7cm. The material was dried at 60</w:t>
      </w:r>
      <w:r w:rsidRPr="008D0EFE">
        <w:rPr>
          <w:rFonts w:ascii="Courier New" w:hAnsi="Courier New" w:cs="Courier New"/>
          <w:vertAlign w:val="superscript"/>
          <w:lang w:eastAsia="en-GB"/>
        </w:rPr>
        <w:t>o</w:t>
      </w:r>
      <w:r w:rsidRPr="008D0EFE">
        <w:rPr>
          <w:rFonts w:ascii="Courier New" w:hAnsi="Courier New" w:cs="Courier New"/>
          <w:lang w:eastAsia="en-GB"/>
        </w:rPr>
        <w:t>C for 72 hours. Aboveground biomass results are shown as the total of all three cuts and converted into tonnes per dry matter weight per hectare (t DM/ha).</w:t>
      </w:r>
    </w:p>
    <w:p w14:paraId="1A34FF18" w14:textId="77777777" w:rsidR="008D0EFE" w:rsidRPr="008D0EFE" w:rsidRDefault="008D0EFE" w:rsidP="008D0EFE">
      <w:pPr>
        <w:rPr>
          <w:rFonts w:ascii="Courier New" w:hAnsi="Courier New" w:cs="Courier New"/>
          <w:lang w:eastAsia="en-GB"/>
        </w:rPr>
      </w:pPr>
    </w:p>
    <w:p w14:paraId="7E2AE90C" w14:textId="77777777" w:rsidR="008D0EFE" w:rsidRPr="008D0EFE" w:rsidRDefault="008D0EFE" w:rsidP="008D0EFE">
      <w:pPr>
        <w:rPr>
          <w:rFonts w:ascii="Courier New" w:eastAsia="Times New Roman" w:hAnsi="Courier New" w:cs="Courier New"/>
          <w:lang w:eastAsia="en-GB"/>
        </w:rPr>
      </w:pPr>
    </w:p>
    <w:p w14:paraId="4F3B6D71" w14:textId="77777777" w:rsidR="008D0EFE" w:rsidRPr="008D0EFE" w:rsidRDefault="008D0EFE" w:rsidP="008D0EFE">
      <w:pPr>
        <w:rPr>
          <w:rFonts w:ascii="Courier New" w:eastAsia="Times New Roman" w:hAnsi="Courier New" w:cs="Courier New"/>
          <w:lang w:eastAsia="en-GB"/>
        </w:rPr>
      </w:pPr>
      <w:r w:rsidRPr="008D0EFE">
        <w:rPr>
          <w:rFonts w:ascii="Courier New" w:eastAsia="Times New Roman" w:hAnsi="Courier New" w:cs="Courier New"/>
          <w:lang w:eastAsia="en-GB"/>
        </w:rPr>
        <w:t>Soil chemical analysis</w:t>
      </w:r>
    </w:p>
    <w:p w14:paraId="35E25A19"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Soil chemical analyses were conducted by NRM Laboratories (Cawood Scientific Limited, Bracknell, UK). Chemical analysis on soil samples from July 2021 included total carbon and total nitrogen determined through combustion in pure oxygen at 1200</w:t>
      </w:r>
      <w:r w:rsidRPr="008D0EFE">
        <w:rPr>
          <w:rFonts w:ascii="Courier New" w:hAnsi="Courier New" w:cs="Courier New"/>
          <w:vertAlign w:val="superscript"/>
          <w:lang w:eastAsia="en-GB"/>
        </w:rPr>
        <w:t>o</w:t>
      </w:r>
      <w:r w:rsidRPr="008D0EFE">
        <w:rPr>
          <w:rFonts w:ascii="Courier New" w:hAnsi="Courier New" w:cs="Courier New"/>
          <w:lang w:eastAsia="en-GB"/>
        </w:rPr>
        <w:t xml:space="preserve">C. The resultant gas mixture led through a splitter with the carbon dioxide gas measured by Infra-Red (IR) detector. Nitrogen oxide gas was reduced to nitrogen by passing through a copper reduction oven, and nitrogen was determined by a thermal conductivity detector, the Dumas method </w:t>
      </w:r>
      <w:r w:rsidRPr="008D0EFE">
        <w:rPr>
          <w:rFonts w:ascii="Courier New" w:hAnsi="Courier New" w:cs="Courier New"/>
          <w:lang w:eastAsia="en-GB"/>
        </w:rPr>
        <w:fldChar w:fldCharType="begin" w:fldLock="1"/>
      </w:r>
      <w:r w:rsidRPr="008D0EFE">
        <w:rPr>
          <w:rFonts w:ascii="Courier New" w:hAnsi="Courier New" w:cs="Courier New"/>
          <w:lang w:eastAsia="en-GB"/>
        </w:rPr>
        <w:instrText>ADDIN CSL_CITATION {"citationItems":[{"id":"ITEM-1","itemData":{"author":[{"dropping-particle":"","family":"AOAC Official Method","given":"","non-dropping-particle":"","parse-names":false,"suffix":""}],"edition":"16th","id":"ITEM-1","issued":{"date-parts":[["1997"]]},"number-of-pages":"Chapter 12, pp. 5-6","publisher":"AOAC International","publisher-place":"Arlington, VA","title":"Microchemical Determination of Carbon, Hydrogen, and Nitrogen, Automated Method, in Official Methods of Analysis of AOAC International","type":"book"},"uris":["http://www.mendeley.com/documents/?uuid=2ebb542a-03fe-4fb7-ad9f-356d6e2172e7"]}],"mendeley":{"formattedCitation":"(AOAC Official Method, 1997)","plainTextFormattedCitation":"(AOAC Official Method, 1997)","previouslyFormattedCitation":"(AOAC Official Method, 1997)"},"properties":{"noteIndex":0},"schema":"https://github.com/citation-style-language/schema/raw/master/csl-citation.json"}</w:instrText>
      </w:r>
      <w:r w:rsidRPr="008D0EFE">
        <w:rPr>
          <w:rFonts w:ascii="Courier New" w:hAnsi="Courier New" w:cs="Courier New"/>
          <w:lang w:eastAsia="en-GB"/>
        </w:rPr>
        <w:fldChar w:fldCharType="separate"/>
      </w:r>
      <w:r w:rsidRPr="008D0EFE">
        <w:rPr>
          <w:rFonts w:ascii="Courier New" w:hAnsi="Courier New" w:cs="Courier New"/>
          <w:lang w:eastAsia="en-GB"/>
        </w:rPr>
        <w:t>(AOAC Official Method, 1997)</w:t>
      </w:r>
      <w:r w:rsidRPr="008D0EFE">
        <w:rPr>
          <w:rFonts w:ascii="Courier New" w:hAnsi="Courier New" w:cs="Courier New"/>
          <w:lang w:eastAsia="en-GB"/>
        </w:rPr>
        <w:fldChar w:fldCharType="end"/>
      </w:r>
      <w:r w:rsidRPr="008D0EFE">
        <w:rPr>
          <w:rFonts w:ascii="Courier New" w:hAnsi="Courier New" w:cs="Courier New"/>
          <w:lang w:eastAsia="en-GB"/>
        </w:rPr>
        <w:t>.</w:t>
      </w:r>
    </w:p>
    <w:p w14:paraId="47A746F3" w14:textId="77777777" w:rsidR="008D0EFE" w:rsidRPr="008D0EFE" w:rsidRDefault="008D0EFE" w:rsidP="008D0EFE">
      <w:pPr>
        <w:rPr>
          <w:rFonts w:ascii="Courier New" w:eastAsia="Times New Roman" w:hAnsi="Courier New" w:cs="Courier New"/>
          <w:lang w:eastAsia="en-GB"/>
        </w:rPr>
      </w:pPr>
    </w:p>
    <w:p w14:paraId="0340D6D1" w14:textId="77777777" w:rsidR="008D0EFE" w:rsidRPr="008D0EFE" w:rsidRDefault="008D0EFE" w:rsidP="008D0EFE">
      <w:pPr>
        <w:rPr>
          <w:rFonts w:ascii="Courier New" w:eastAsia="Times New Roman" w:hAnsi="Courier New" w:cs="Courier New"/>
          <w:lang w:eastAsia="en-GB"/>
        </w:rPr>
      </w:pPr>
    </w:p>
    <w:p w14:paraId="697DC772" w14:textId="77777777" w:rsidR="008D0EFE" w:rsidRPr="008D0EFE" w:rsidRDefault="008D0EFE" w:rsidP="008D0EFE">
      <w:pPr>
        <w:rPr>
          <w:rFonts w:ascii="Courier New" w:eastAsia="Times New Roman" w:hAnsi="Courier New" w:cs="Courier New"/>
          <w:lang w:eastAsia="en-GB"/>
        </w:rPr>
      </w:pPr>
      <w:r w:rsidRPr="008D0EFE">
        <w:rPr>
          <w:rFonts w:ascii="Courier New" w:eastAsia="Times New Roman" w:hAnsi="Courier New" w:cs="Courier New"/>
          <w:lang w:eastAsia="en-GB"/>
        </w:rPr>
        <w:t>DNA extraction and amplification</w:t>
      </w:r>
    </w:p>
    <w:p w14:paraId="1959511C" w14:textId="77777777" w:rsidR="008D0EFE" w:rsidRPr="008D0EFE" w:rsidRDefault="008D0EFE" w:rsidP="008D0EFE">
      <w:pPr>
        <w:rPr>
          <w:rFonts w:ascii="Courier New" w:hAnsi="Courier New" w:cs="Courier New"/>
        </w:rPr>
      </w:pPr>
      <w:r w:rsidRPr="008D0EFE">
        <w:rPr>
          <w:rFonts w:ascii="Courier New" w:hAnsi="Courier New" w:cs="Courier New"/>
        </w:rPr>
        <w:t xml:space="preserve">DNeasy powersoil pro kit (QIAGEN LLC, Hilden, Germany) was used to extract DNA from the dry and well-watered soil samples at the University of Reading: 0.25g of soil was weighed, and the DNeasy powersoil pro kit extraction protocol followed, using the Tissuelyser II (QIAGEN, Hilden, Germany). </w:t>
      </w:r>
      <w:r w:rsidRPr="008D0EFE">
        <w:rPr>
          <w:rFonts w:ascii="Courier New" w:hAnsi="Courier New" w:cs="Courier New"/>
          <w:sz w:val="24"/>
          <w:szCs w:val="24"/>
        </w:rPr>
        <w:t xml:space="preserve">DNeasy plant mini kit (QIAGEN LLC, Hilden, Germany) was used to extract DNA from the ryegrass trap-plant roots. 0.12g of root sample was ground using a pestle and mortar with liquid nitrogen. </w:t>
      </w:r>
      <w:r w:rsidRPr="008D0EFE">
        <w:rPr>
          <w:rFonts w:ascii="Courier New" w:hAnsi="Courier New" w:cs="Courier New"/>
        </w:rPr>
        <w:t>Samples were checked for DNA yields using 1.5µl of the sample on the NanoDrop 2000/2000c spectrophotometer (ThermoFisher Scientific, Waltham, Massachusetts, US). Extracted DNA samples were adjusted to 10ng/µl using elution buffer and stored at -18</w:t>
      </w:r>
      <w:r w:rsidRPr="008D0EFE">
        <w:rPr>
          <w:rFonts w:ascii="Courier New" w:hAnsi="Courier New" w:cs="Courier New"/>
          <w:vertAlign w:val="superscript"/>
        </w:rPr>
        <w:t>o</w:t>
      </w:r>
      <w:r w:rsidRPr="008D0EFE">
        <w:rPr>
          <w:rFonts w:ascii="Courier New" w:hAnsi="Courier New" w:cs="Courier New"/>
        </w:rPr>
        <w:t>C before amplification.</w:t>
      </w:r>
    </w:p>
    <w:p w14:paraId="128970D9" w14:textId="77777777" w:rsidR="008D0EFE" w:rsidRPr="008D0EFE" w:rsidRDefault="008D0EFE" w:rsidP="008D0EFE">
      <w:pPr>
        <w:rPr>
          <w:rFonts w:ascii="Courier New" w:hAnsi="Courier New" w:cs="Courier New"/>
          <w:lang w:eastAsia="en-GB"/>
        </w:rPr>
      </w:pPr>
    </w:p>
    <w:p w14:paraId="3DBAE7DC" w14:textId="0C3FE541"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 xml:space="preserve">Fungal community analysis was performed at LGC Group (Teddington, UK) for ITS data generated from amplicon sequencing on 32 DNA samples using a two-step PCR approach with primer pair </w:t>
      </w:r>
      <w:r w:rsidRPr="008D0EFE">
        <w:rPr>
          <w:rFonts w:ascii="Courier New" w:hAnsi="Courier New" w:cs="Courier New"/>
          <w:bdr w:val="none" w:sz="0" w:space="0" w:color="auto" w:frame="1"/>
          <w:lang w:eastAsia="en-GB"/>
        </w:rPr>
        <w:t xml:space="preserve">ITS1FKyo2 (TAGAGGAAGTAAAAGTCGTAA) and ITS86R (TTCAAAGATTCGATGATTCA) </w:t>
      </w:r>
      <w:r w:rsidRPr="008D0EFE">
        <w:rPr>
          <w:rFonts w:ascii="Courier New" w:hAnsi="Courier New" w:cs="Courier New"/>
        </w:rPr>
        <w:t xml:space="preserve">run on </w:t>
      </w:r>
      <w:r w:rsidRPr="008D0EFE">
        <w:rPr>
          <w:rFonts w:ascii="Courier New" w:hAnsi="Courier New" w:cs="Courier New"/>
          <w:bdr w:val="none" w:sz="0" w:space="0" w:color="auto" w:frame="1"/>
          <w:lang w:eastAsia="en-GB"/>
        </w:rPr>
        <w:t xml:space="preserve">illumina Inc (San Diego, CA, US) MiSeq v3 pair-end sequencing of 2x300bp. </w:t>
      </w:r>
      <w:r w:rsidRPr="008D0EFE">
        <w:rPr>
          <w:rFonts w:ascii="Courier New" w:hAnsi="Courier New" w:cs="Courier New"/>
        </w:rPr>
        <w:t>The second amplification used i7- and i5- sequencing adaptors. First amplification settings were 1-minute 96</w:t>
      </w:r>
      <w:r w:rsidRPr="008D0EFE">
        <w:rPr>
          <w:rFonts w:ascii="Courier New" w:hAnsi="Courier New" w:cs="Courier New"/>
          <w:vertAlign w:val="superscript"/>
        </w:rPr>
        <w:t>o</w:t>
      </w:r>
      <w:r w:rsidRPr="008D0EFE">
        <w:rPr>
          <w:rFonts w:ascii="Courier New" w:hAnsi="Courier New" w:cs="Courier New"/>
        </w:rPr>
        <w:t>C pre-</w:t>
      </w:r>
      <w:r w:rsidRPr="008D0EFE">
        <w:rPr>
          <w:rFonts w:ascii="Courier New" w:hAnsi="Courier New" w:cs="Courier New"/>
        </w:rPr>
        <w:lastRenderedPageBreak/>
        <w:t>denaturation followed with 30 15s cycles at 96</w:t>
      </w:r>
      <w:r w:rsidRPr="008D0EFE">
        <w:rPr>
          <w:rFonts w:ascii="Courier New" w:hAnsi="Courier New" w:cs="Courier New"/>
          <w:vertAlign w:val="superscript"/>
        </w:rPr>
        <w:t>o</w:t>
      </w:r>
      <w:r w:rsidRPr="008D0EFE">
        <w:rPr>
          <w:rFonts w:ascii="Courier New" w:hAnsi="Courier New" w:cs="Courier New"/>
        </w:rPr>
        <w:t>C denaturation, 58</w:t>
      </w:r>
      <w:r w:rsidRPr="008D0EFE">
        <w:rPr>
          <w:rFonts w:ascii="Courier New" w:hAnsi="Courier New" w:cs="Courier New"/>
          <w:vertAlign w:val="superscript"/>
        </w:rPr>
        <w:t>o</w:t>
      </w:r>
      <w:r w:rsidRPr="008D0EFE">
        <w:rPr>
          <w:rFonts w:ascii="Courier New" w:hAnsi="Courier New" w:cs="Courier New"/>
        </w:rPr>
        <w:t>C 30s annealing, 68</w:t>
      </w:r>
      <w:r w:rsidRPr="008D0EFE">
        <w:rPr>
          <w:rFonts w:ascii="Courier New" w:hAnsi="Courier New" w:cs="Courier New"/>
          <w:vertAlign w:val="superscript"/>
        </w:rPr>
        <w:t>o</w:t>
      </w:r>
      <w:r w:rsidRPr="008D0EFE">
        <w:rPr>
          <w:rFonts w:ascii="Courier New" w:hAnsi="Courier New" w:cs="Courier New"/>
        </w:rPr>
        <w:t>C 90s extension, 70</w:t>
      </w:r>
      <w:r w:rsidRPr="008D0EFE">
        <w:rPr>
          <w:rFonts w:ascii="Courier New" w:hAnsi="Courier New" w:cs="Courier New"/>
          <w:vertAlign w:val="superscript"/>
        </w:rPr>
        <w:t>o</w:t>
      </w:r>
      <w:r w:rsidRPr="008D0EFE">
        <w:rPr>
          <w:rFonts w:ascii="Courier New" w:hAnsi="Courier New" w:cs="Courier New"/>
        </w:rPr>
        <w:t>C 2-minute final extension and 8</w:t>
      </w:r>
      <w:r w:rsidRPr="008D0EFE">
        <w:rPr>
          <w:rFonts w:ascii="Courier New" w:hAnsi="Courier New" w:cs="Courier New"/>
          <w:vertAlign w:val="superscript"/>
        </w:rPr>
        <w:t>o</w:t>
      </w:r>
      <w:r w:rsidRPr="008D0EFE">
        <w:rPr>
          <w:rFonts w:ascii="Courier New" w:hAnsi="Courier New" w:cs="Courier New"/>
        </w:rPr>
        <w:t>C final hold. The second amplification followed the first amplification process with annealing changed to 3 cycles at 50</w:t>
      </w:r>
      <w:r w:rsidRPr="008D0EFE">
        <w:rPr>
          <w:rFonts w:ascii="Courier New" w:hAnsi="Courier New" w:cs="Courier New"/>
          <w:vertAlign w:val="superscript"/>
        </w:rPr>
        <w:t>o</w:t>
      </w:r>
      <w:r w:rsidRPr="008D0EFE">
        <w:rPr>
          <w:rFonts w:ascii="Courier New" w:hAnsi="Courier New" w:cs="Courier New"/>
        </w:rPr>
        <w:t>C followed by 7 cycles at 58</w:t>
      </w:r>
      <w:r w:rsidRPr="008D0EFE">
        <w:rPr>
          <w:rFonts w:ascii="Courier New" w:hAnsi="Courier New" w:cs="Courier New"/>
          <w:vertAlign w:val="superscript"/>
        </w:rPr>
        <w:t>o</w:t>
      </w:r>
      <w:r w:rsidRPr="008D0EFE">
        <w:rPr>
          <w:rFonts w:ascii="Courier New" w:hAnsi="Courier New" w:cs="Courier New"/>
        </w:rPr>
        <w:t>C. The process involved demultiplexing, clipping, primer detection and forward and reverse reads using BBMerge. Amplicon pre-processing included chimera removal</w:t>
      </w:r>
      <w:r w:rsidRPr="008D0EFE">
        <w:rPr>
          <w:rFonts w:ascii="Courier New" w:hAnsi="Courier New" w:cs="Courier New"/>
          <w:lang w:eastAsia="en-GB"/>
        </w:rPr>
        <w:t>, resulting in high-quality reads clustered into operational taxonomic units (OTU)</w:t>
      </w:r>
      <w:r w:rsidRPr="008D0EFE">
        <w:rPr>
          <w:rFonts w:ascii="Courier New" w:hAnsi="Courier New" w:cs="Courier New"/>
        </w:rPr>
        <w:t xml:space="preserve"> picked using Mothur at the 97% identity level. The total number of reads came to 638,574, an average of 19955.438 ± 22.404 sd per sample (</w:t>
      </w:r>
      <w:r w:rsidRPr="008D0EFE">
        <w:rPr>
          <w:rFonts w:ascii="Courier New" w:hAnsi="Courier New" w:cs="Courier New"/>
        </w:rPr>
        <w:fldChar w:fldCharType="begin"/>
      </w:r>
      <w:r w:rsidRPr="008D0EFE">
        <w:rPr>
          <w:rFonts w:ascii="Courier New" w:hAnsi="Courier New" w:cs="Courier New"/>
        </w:rPr>
        <w:instrText xml:space="preserve"> REF _Ref124429794 \h  \* MERGEFORMAT </w:instrText>
      </w:r>
      <w:r w:rsidRPr="008D0EFE">
        <w:rPr>
          <w:rFonts w:ascii="Courier New" w:hAnsi="Courier New" w:cs="Courier New"/>
        </w:rPr>
      </w:r>
      <w:r w:rsidRPr="008D0EFE">
        <w:rPr>
          <w:rFonts w:ascii="Courier New" w:hAnsi="Courier New" w:cs="Courier New"/>
        </w:rPr>
        <w:fldChar w:fldCharType="separate"/>
      </w:r>
      <w:r w:rsidRPr="008D0EFE">
        <w:rPr>
          <w:rFonts w:ascii="Courier New" w:hAnsi="Courier New" w:cs="Courier New"/>
        </w:rPr>
        <w:t xml:space="preserve">Table </w:t>
      </w:r>
      <w:r w:rsidRPr="008D0EFE">
        <w:rPr>
          <w:rFonts w:ascii="Courier New" w:hAnsi="Courier New" w:cs="Courier New"/>
          <w:cs/>
        </w:rPr>
        <w:t>‎</w:t>
      </w:r>
      <w:r w:rsidRPr="008D0EFE">
        <w:rPr>
          <w:rFonts w:ascii="Courier New" w:hAnsi="Courier New" w:cs="Courier New"/>
        </w:rPr>
        <w:t>4</w:t>
      </w:r>
      <w:r w:rsidRPr="008D0EFE">
        <w:rPr>
          <w:rFonts w:ascii="Courier New" w:hAnsi="Courier New" w:cs="Courier New"/>
        </w:rPr>
        <w:fldChar w:fldCharType="end"/>
      </w:r>
      <w:r w:rsidRPr="008D0EFE">
        <w:rPr>
          <w:rFonts w:ascii="Courier New" w:hAnsi="Courier New" w:cs="Courier New"/>
        </w:rPr>
        <w:t>). Taxonomic classification of the fungi was processed against the UNITE database, totalling</w:t>
      </w:r>
      <w:r w:rsidRPr="008D0EFE">
        <w:rPr>
          <w:rFonts w:ascii="Courier New" w:hAnsi="Courier New" w:cs="Courier New"/>
          <w:lang w:eastAsia="en-GB"/>
        </w:rPr>
        <w:t xml:space="preserve"> 626,983 fungal sequences obtained from the 32 samples.</w:t>
      </w:r>
    </w:p>
    <w:p w14:paraId="465DB126" w14:textId="77777777" w:rsidR="008D0EFE" w:rsidRPr="008D0EFE" w:rsidRDefault="008D0EFE" w:rsidP="008D0EFE">
      <w:pPr>
        <w:rPr>
          <w:rFonts w:ascii="Courier New" w:hAnsi="Courier New" w:cs="Courier New"/>
          <w:lang w:eastAsia="en-GB"/>
        </w:rPr>
      </w:pPr>
    </w:p>
    <w:p w14:paraId="1361CA8F" w14:textId="57906F6F" w:rsidR="008D0EFE" w:rsidRPr="008D0EFE" w:rsidRDefault="008D0EFE" w:rsidP="008D0EFE">
      <w:pPr>
        <w:rPr>
          <w:rFonts w:ascii="Courier New" w:hAnsi="Courier New" w:cs="Courier New"/>
          <w:lang w:eastAsia="en-GB"/>
        </w:rPr>
      </w:pPr>
      <w:bookmarkStart w:id="12" w:name="_Ref124429794"/>
      <w:bookmarkStart w:id="13" w:name="_Toc151117539"/>
      <w:r w:rsidRPr="008D0EFE">
        <w:rPr>
          <w:rFonts w:ascii="Courier New" w:hAnsi="Courier New" w:cs="Courier New"/>
        </w:rPr>
        <w:t xml:space="preserve">Table </w:t>
      </w:r>
      <w:r w:rsidRPr="008D0EFE">
        <w:rPr>
          <w:rFonts w:ascii="Courier New" w:hAnsi="Courier New" w:cs="Courier New"/>
        </w:rPr>
        <w:fldChar w:fldCharType="begin"/>
      </w:r>
      <w:r w:rsidRPr="008D0EFE">
        <w:rPr>
          <w:rFonts w:ascii="Courier New" w:hAnsi="Courier New" w:cs="Courier New"/>
        </w:rPr>
        <w:instrText xml:space="preserve"> SEQ Table \* ARABIC \s 1 </w:instrText>
      </w:r>
      <w:r w:rsidRPr="008D0EFE">
        <w:rPr>
          <w:rFonts w:ascii="Courier New" w:hAnsi="Courier New" w:cs="Courier New"/>
        </w:rPr>
        <w:fldChar w:fldCharType="separate"/>
      </w:r>
      <w:r w:rsidRPr="008D0EFE">
        <w:rPr>
          <w:rFonts w:ascii="Courier New" w:hAnsi="Courier New" w:cs="Courier New"/>
        </w:rPr>
        <w:t>4</w:t>
      </w:r>
      <w:r w:rsidRPr="008D0EFE">
        <w:rPr>
          <w:rFonts w:ascii="Courier New" w:hAnsi="Courier New" w:cs="Courier New"/>
        </w:rPr>
        <w:fldChar w:fldCharType="end"/>
      </w:r>
      <w:bookmarkEnd w:id="12"/>
      <w:r w:rsidRPr="008D0EFE">
        <w:rPr>
          <w:rFonts w:ascii="Courier New" w:hAnsi="Courier New" w:cs="Courier New"/>
        </w:rPr>
        <w:t xml:space="preserve"> </w:t>
      </w:r>
      <w:r w:rsidRPr="008D0EFE">
        <w:rPr>
          <w:rFonts w:ascii="Courier New" w:hAnsi="Courier New" w:cs="Courier New"/>
          <w:lang w:eastAsia="en-GB"/>
        </w:rPr>
        <w:t>OTU counts per sample for the two CRU sites per forage mixture (PRG: perennial ryegrass; SG: SmartGrass; Bio: Biomix; Her:Herbal)</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001"/>
        <w:gridCol w:w="1002"/>
        <w:gridCol w:w="1002"/>
        <w:gridCol w:w="1002"/>
        <w:gridCol w:w="1002"/>
        <w:gridCol w:w="1002"/>
        <w:gridCol w:w="1002"/>
        <w:gridCol w:w="1002"/>
      </w:tblGrid>
      <w:tr w:rsidR="008D0EFE" w:rsidRPr="008D0EFE" w14:paraId="52626708" w14:textId="77777777" w:rsidTr="00A12E42">
        <w:tc>
          <w:tcPr>
            <w:tcW w:w="1001" w:type="dxa"/>
          </w:tcPr>
          <w:p w14:paraId="29A49BEE" w14:textId="77777777" w:rsidR="008D0EFE" w:rsidRPr="008D0EFE" w:rsidRDefault="008D0EFE" w:rsidP="008D0EFE">
            <w:pPr>
              <w:rPr>
                <w:rFonts w:ascii="Courier New" w:hAnsi="Courier New" w:cs="Courier New"/>
                <w:lang w:eastAsia="en-GB"/>
              </w:rPr>
            </w:pPr>
          </w:p>
        </w:tc>
        <w:tc>
          <w:tcPr>
            <w:tcW w:w="4007" w:type="dxa"/>
            <w:gridSpan w:val="4"/>
            <w:tcBorders>
              <w:top w:val="single" w:sz="4" w:space="0" w:color="auto"/>
              <w:bottom w:val="single" w:sz="4" w:space="0" w:color="auto"/>
            </w:tcBorders>
          </w:tcPr>
          <w:p w14:paraId="2AFEB3FB"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Dry site</w:t>
            </w:r>
          </w:p>
        </w:tc>
        <w:tc>
          <w:tcPr>
            <w:tcW w:w="4008" w:type="dxa"/>
            <w:gridSpan w:val="4"/>
            <w:tcBorders>
              <w:top w:val="single" w:sz="4" w:space="0" w:color="auto"/>
              <w:bottom w:val="single" w:sz="4" w:space="0" w:color="auto"/>
            </w:tcBorders>
          </w:tcPr>
          <w:p w14:paraId="084B78B5"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Well-watered site</w:t>
            </w:r>
          </w:p>
        </w:tc>
      </w:tr>
      <w:tr w:rsidR="008D0EFE" w:rsidRPr="008D0EFE" w14:paraId="42CEE066" w14:textId="77777777" w:rsidTr="00A12E42">
        <w:tc>
          <w:tcPr>
            <w:tcW w:w="1001" w:type="dxa"/>
          </w:tcPr>
          <w:p w14:paraId="24178F5A" w14:textId="77777777" w:rsidR="008D0EFE" w:rsidRPr="008D0EFE" w:rsidRDefault="008D0EFE" w:rsidP="008D0EFE">
            <w:pPr>
              <w:rPr>
                <w:rFonts w:ascii="Courier New" w:hAnsi="Courier New" w:cs="Courier New"/>
                <w:lang w:eastAsia="en-GB"/>
              </w:rPr>
            </w:pPr>
          </w:p>
        </w:tc>
        <w:tc>
          <w:tcPr>
            <w:tcW w:w="8015" w:type="dxa"/>
            <w:gridSpan w:val="8"/>
            <w:tcBorders>
              <w:top w:val="single" w:sz="4" w:space="0" w:color="auto"/>
              <w:bottom w:val="single" w:sz="4" w:space="0" w:color="auto"/>
            </w:tcBorders>
          </w:tcPr>
          <w:p w14:paraId="36E32352"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Sample number</w:t>
            </w:r>
          </w:p>
        </w:tc>
      </w:tr>
      <w:tr w:rsidR="008D0EFE" w:rsidRPr="008D0EFE" w14:paraId="11869269" w14:textId="77777777" w:rsidTr="00A12E42">
        <w:tc>
          <w:tcPr>
            <w:tcW w:w="1001" w:type="dxa"/>
            <w:tcBorders>
              <w:bottom w:val="single" w:sz="4" w:space="0" w:color="auto"/>
            </w:tcBorders>
          </w:tcPr>
          <w:p w14:paraId="15837A34" w14:textId="77777777" w:rsidR="008D0EFE" w:rsidRPr="008D0EFE" w:rsidRDefault="008D0EFE" w:rsidP="008D0EFE">
            <w:pPr>
              <w:rPr>
                <w:rFonts w:ascii="Courier New" w:hAnsi="Courier New" w:cs="Courier New"/>
                <w:lang w:eastAsia="en-GB"/>
              </w:rPr>
            </w:pPr>
          </w:p>
        </w:tc>
        <w:tc>
          <w:tcPr>
            <w:tcW w:w="1001" w:type="dxa"/>
            <w:tcBorders>
              <w:top w:val="single" w:sz="4" w:space="0" w:color="auto"/>
              <w:bottom w:val="single" w:sz="4" w:space="0" w:color="auto"/>
            </w:tcBorders>
          </w:tcPr>
          <w:p w14:paraId="6FF3EBDD"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1</w:t>
            </w:r>
          </w:p>
        </w:tc>
        <w:tc>
          <w:tcPr>
            <w:tcW w:w="1002" w:type="dxa"/>
            <w:tcBorders>
              <w:top w:val="single" w:sz="4" w:space="0" w:color="auto"/>
              <w:bottom w:val="single" w:sz="4" w:space="0" w:color="auto"/>
            </w:tcBorders>
          </w:tcPr>
          <w:p w14:paraId="7BAC685B"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2</w:t>
            </w:r>
          </w:p>
        </w:tc>
        <w:tc>
          <w:tcPr>
            <w:tcW w:w="1002" w:type="dxa"/>
            <w:tcBorders>
              <w:top w:val="single" w:sz="4" w:space="0" w:color="auto"/>
              <w:bottom w:val="single" w:sz="4" w:space="0" w:color="auto"/>
            </w:tcBorders>
          </w:tcPr>
          <w:p w14:paraId="202C5AA1"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3</w:t>
            </w:r>
          </w:p>
        </w:tc>
        <w:tc>
          <w:tcPr>
            <w:tcW w:w="1002" w:type="dxa"/>
            <w:tcBorders>
              <w:top w:val="single" w:sz="4" w:space="0" w:color="auto"/>
              <w:bottom w:val="single" w:sz="4" w:space="0" w:color="auto"/>
            </w:tcBorders>
          </w:tcPr>
          <w:p w14:paraId="609D97CC"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4</w:t>
            </w:r>
          </w:p>
        </w:tc>
        <w:tc>
          <w:tcPr>
            <w:tcW w:w="1002" w:type="dxa"/>
            <w:tcBorders>
              <w:top w:val="single" w:sz="4" w:space="0" w:color="auto"/>
              <w:bottom w:val="single" w:sz="4" w:space="0" w:color="auto"/>
            </w:tcBorders>
          </w:tcPr>
          <w:p w14:paraId="18D547A0"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1</w:t>
            </w:r>
          </w:p>
        </w:tc>
        <w:tc>
          <w:tcPr>
            <w:tcW w:w="1002" w:type="dxa"/>
            <w:tcBorders>
              <w:top w:val="single" w:sz="4" w:space="0" w:color="auto"/>
              <w:bottom w:val="single" w:sz="4" w:space="0" w:color="auto"/>
            </w:tcBorders>
          </w:tcPr>
          <w:p w14:paraId="492988C9"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2</w:t>
            </w:r>
          </w:p>
        </w:tc>
        <w:tc>
          <w:tcPr>
            <w:tcW w:w="1002" w:type="dxa"/>
            <w:tcBorders>
              <w:top w:val="single" w:sz="4" w:space="0" w:color="auto"/>
              <w:bottom w:val="single" w:sz="4" w:space="0" w:color="auto"/>
            </w:tcBorders>
          </w:tcPr>
          <w:p w14:paraId="597161AE"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3</w:t>
            </w:r>
          </w:p>
        </w:tc>
        <w:tc>
          <w:tcPr>
            <w:tcW w:w="1002" w:type="dxa"/>
            <w:tcBorders>
              <w:top w:val="single" w:sz="4" w:space="0" w:color="auto"/>
              <w:bottom w:val="single" w:sz="4" w:space="0" w:color="auto"/>
            </w:tcBorders>
          </w:tcPr>
          <w:p w14:paraId="6DBD482B"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4</w:t>
            </w:r>
          </w:p>
        </w:tc>
      </w:tr>
      <w:tr w:rsidR="008D0EFE" w:rsidRPr="008D0EFE" w14:paraId="7254C130" w14:textId="77777777" w:rsidTr="00A12E42">
        <w:tc>
          <w:tcPr>
            <w:tcW w:w="1001" w:type="dxa"/>
            <w:tcBorders>
              <w:top w:val="single" w:sz="4" w:space="0" w:color="auto"/>
            </w:tcBorders>
          </w:tcPr>
          <w:p w14:paraId="72AB7220"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PRG</w:t>
            </w:r>
          </w:p>
        </w:tc>
        <w:tc>
          <w:tcPr>
            <w:tcW w:w="1001" w:type="dxa"/>
            <w:tcBorders>
              <w:top w:val="single" w:sz="4" w:space="0" w:color="auto"/>
            </w:tcBorders>
          </w:tcPr>
          <w:p w14:paraId="3646275E"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19947</w:t>
            </w:r>
          </w:p>
        </w:tc>
        <w:tc>
          <w:tcPr>
            <w:tcW w:w="1002" w:type="dxa"/>
            <w:tcBorders>
              <w:top w:val="single" w:sz="4" w:space="0" w:color="auto"/>
            </w:tcBorders>
          </w:tcPr>
          <w:p w14:paraId="3C6110CC"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19961</w:t>
            </w:r>
          </w:p>
        </w:tc>
        <w:tc>
          <w:tcPr>
            <w:tcW w:w="1002" w:type="dxa"/>
            <w:tcBorders>
              <w:top w:val="single" w:sz="4" w:space="0" w:color="auto"/>
            </w:tcBorders>
          </w:tcPr>
          <w:p w14:paraId="72CE3F2B"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19965</w:t>
            </w:r>
          </w:p>
        </w:tc>
        <w:tc>
          <w:tcPr>
            <w:tcW w:w="1002" w:type="dxa"/>
            <w:tcBorders>
              <w:top w:val="single" w:sz="4" w:space="0" w:color="auto"/>
            </w:tcBorders>
          </w:tcPr>
          <w:p w14:paraId="6D5A4563"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19968</w:t>
            </w:r>
          </w:p>
        </w:tc>
        <w:tc>
          <w:tcPr>
            <w:tcW w:w="1002" w:type="dxa"/>
            <w:tcBorders>
              <w:top w:val="single" w:sz="4" w:space="0" w:color="auto"/>
            </w:tcBorders>
          </w:tcPr>
          <w:p w14:paraId="3B24CF0A"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19941</w:t>
            </w:r>
          </w:p>
        </w:tc>
        <w:tc>
          <w:tcPr>
            <w:tcW w:w="1002" w:type="dxa"/>
            <w:tcBorders>
              <w:top w:val="single" w:sz="4" w:space="0" w:color="auto"/>
            </w:tcBorders>
          </w:tcPr>
          <w:p w14:paraId="0E279804"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19953</w:t>
            </w:r>
          </w:p>
        </w:tc>
        <w:tc>
          <w:tcPr>
            <w:tcW w:w="1002" w:type="dxa"/>
            <w:tcBorders>
              <w:top w:val="single" w:sz="4" w:space="0" w:color="auto"/>
            </w:tcBorders>
          </w:tcPr>
          <w:p w14:paraId="1FFF7BB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19954</w:t>
            </w:r>
          </w:p>
        </w:tc>
        <w:tc>
          <w:tcPr>
            <w:tcW w:w="1002" w:type="dxa"/>
            <w:tcBorders>
              <w:top w:val="single" w:sz="4" w:space="0" w:color="auto"/>
            </w:tcBorders>
          </w:tcPr>
          <w:p w14:paraId="2739E00B"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19956</w:t>
            </w:r>
          </w:p>
        </w:tc>
      </w:tr>
      <w:tr w:rsidR="008D0EFE" w:rsidRPr="008D0EFE" w14:paraId="2C0C79DA" w14:textId="77777777" w:rsidTr="00A12E42">
        <w:tc>
          <w:tcPr>
            <w:tcW w:w="1001" w:type="dxa"/>
          </w:tcPr>
          <w:p w14:paraId="38843B4F"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SG</w:t>
            </w:r>
          </w:p>
        </w:tc>
        <w:tc>
          <w:tcPr>
            <w:tcW w:w="1001" w:type="dxa"/>
          </w:tcPr>
          <w:p w14:paraId="43E41CB1"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19953</w:t>
            </w:r>
          </w:p>
        </w:tc>
        <w:tc>
          <w:tcPr>
            <w:tcW w:w="1002" w:type="dxa"/>
          </w:tcPr>
          <w:p w14:paraId="212D87B9"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19954</w:t>
            </w:r>
          </w:p>
        </w:tc>
        <w:tc>
          <w:tcPr>
            <w:tcW w:w="1002" w:type="dxa"/>
          </w:tcPr>
          <w:p w14:paraId="6ABC7A61"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19970</w:t>
            </w:r>
          </w:p>
        </w:tc>
        <w:tc>
          <w:tcPr>
            <w:tcW w:w="1002" w:type="dxa"/>
          </w:tcPr>
          <w:p w14:paraId="5BAFC19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19967</w:t>
            </w:r>
          </w:p>
        </w:tc>
        <w:tc>
          <w:tcPr>
            <w:tcW w:w="1002" w:type="dxa"/>
          </w:tcPr>
          <w:p w14:paraId="00A29C58"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19894</w:t>
            </w:r>
          </w:p>
        </w:tc>
        <w:tc>
          <w:tcPr>
            <w:tcW w:w="1002" w:type="dxa"/>
          </w:tcPr>
          <w:p w14:paraId="79549151"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19962</w:t>
            </w:r>
          </w:p>
        </w:tc>
        <w:tc>
          <w:tcPr>
            <w:tcW w:w="1002" w:type="dxa"/>
          </w:tcPr>
          <w:p w14:paraId="3C57B6DB"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19968</w:t>
            </w:r>
          </w:p>
        </w:tc>
        <w:tc>
          <w:tcPr>
            <w:tcW w:w="1002" w:type="dxa"/>
          </w:tcPr>
          <w:p w14:paraId="0C0EBA44"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19967</w:t>
            </w:r>
          </w:p>
        </w:tc>
      </w:tr>
      <w:tr w:rsidR="008D0EFE" w:rsidRPr="008D0EFE" w14:paraId="6630D0D9" w14:textId="77777777" w:rsidTr="00A12E42">
        <w:tc>
          <w:tcPr>
            <w:tcW w:w="1001" w:type="dxa"/>
          </w:tcPr>
          <w:p w14:paraId="75AB6E0B"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Bio</w:t>
            </w:r>
          </w:p>
        </w:tc>
        <w:tc>
          <w:tcPr>
            <w:tcW w:w="1001" w:type="dxa"/>
          </w:tcPr>
          <w:p w14:paraId="4CA991A2"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19931</w:t>
            </w:r>
          </w:p>
        </w:tc>
        <w:tc>
          <w:tcPr>
            <w:tcW w:w="1002" w:type="dxa"/>
          </w:tcPr>
          <w:p w14:paraId="2044D496"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19952</w:t>
            </w:r>
          </w:p>
        </w:tc>
        <w:tc>
          <w:tcPr>
            <w:tcW w:w="1002" w:type="dxa"/>
          </w:tcPr>
          <w:p w14:paraId="0B9C4514"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19958</w:t>
            </w:r>
          </w:p>
        </w:tc>
        <w:tc>
          <w:tcPr>
            <w:tcW w:w="1002" w:type="dxa"/>
          </w:tcPr>
          <w:p w14:paraId="0512C7CB"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19965</w:t>
            </w:r>
          </w:p>
        </w:tc>
        <w:tc>
          <w:tcPr>
            <w:tcW w:w="1002" w:type="dxa"/>
          </w:tcPr>
          <w:p w14:paraId="3C875AB6"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19954</w:t>
            </w:r>
          </w:p>
        </w:tc>
        <w:tc>
          <w:tcPr>
            <w:tcW w:w="1002" w:type="dxa"/>
          </w:tcPr>
          <w:p w14:paraId="2FAFD92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19960</w:t>
            </w:r>
          </w:p>
        </w:tc>
        <w:tc>
          <w:tcPr>
            <w:tcW w:w="1002" w:type="dxa"/>
          </w:tcPr>
          <w:p w14:paraId="082A6944"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19964</w:t>
            </w:r>
          </w:p>
        </w:tc>
        <w:tc>
          <w:tcPr>
            <w:tcW w:w="1002" w:type="dxa"/>
          </w:tcPr>
          <w:p w14:paraId="5E14FCBD"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19971</w:t>
            </w:r>
          </w:p>
        </w:tc>
      </w:tr>
      <w:tr w:rsidR="008D0EFE" w:rsidRPr="008D0EFE" w14:paraId="6C0FD040" w14:textId="77777777" w:rsidTr="00A12E42">
        <w:tc>
          <w:tcPr>
            <w:tcW w:w="1001" w:type="dxa"/>
            <w:tcBorders>
              <w:bottom w:val="single" w:sz="4" w:space="0" w:color="auto"/>
            </w:tcBorders>
          </w:tcPr>
          <w:p w14:paraId="79C90E23" w14:textId="77777777" w:rsidR="008D0EFE" w:rsidRPr="008D0EFE" w:rsidRDefault="008D0EFE" w:rsidP="008D0EFE">
            <w:pPr>
              <w:rPr>
                <w:rFonts w:ascii="Courier New" w:hAnsi="Courier New" w:cs="Courier New"/>
                <w:b/>
                <w:bCs/>
                <w:lang w:eastAsia="en-GB"/>
              </w:rPr>
            </w:pPr>
            <w:r w:rsidRPr="008D0EFE">
              <w:rPr>
                <w:rFonts w:ascii="Courier New" w:hAnsi="Courier New" w:cs="Courier New"/>
                <w:b/>
                <w:bCs/>
                <w:lang w:eastAsia="en-GB"/>
              </w:rPr>
              <w:t>Her</w:t>
            </w:r>
          </w:p>
        </w:tc>
        <w:tc>
          <w:tcPr>
            <w:tcW w:w="1001" w:type="dxa"/>
            <w:tcBorders>
              <w:bottom w:val="single" w:sz="4" w:space="0" w:color="auto"/>
            </w:tcBorders>
          </w:tcPr>
          <w:p w14:paraId="313057D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19863</w:t>
            </w:r>
          </w:p>
        </w:tc>
        <w:tc>
          <w:tcPr>
            <w:tcW w:w="1002" w:type="dxa"/>
            <w:tcBorders>
              <w:bottom w:val="single" w:sz="4" w:space="0" w:color="auto"/>
            </w:tcBorders>
          </w:tcPr>
          <w:p w14:paraId="26A6A82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19961</w:t>
            </w:r>
          </w:p>
        </w:tc>
        <w:tc>
          <w:tcPr>
            <w:tcW w:w="1002" w:type="dxa"/>
            <w:tcBorders>
              <w:bottom w:val="single" w:sz="4" w:space="0" w:color="auto"/>
            </w:tcBorders>
          </w:tcPr>
          <w:p w14:paraId="628D99DC"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19975</w:t>
            </w:r>
          </w:p>
        </w:tc>
        <w:tc>
          <w:tcPr>
            <w:tcW w:w="1002" w:type="dxa"/>
            <w:tcBorders>
              <w:bottom w:val="single" w:sz="4" w:space="0" w:color="auto"/>
            </w:tcBorders>
          </w:tcPr>
          <w:p w14:paraId="6D5487E0"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19966</w:t>
            </w:r>
          </w:p>
        </w:tc>
        <w:tc>
          <w:tcPr>
            <w:tcW w:w="1002" w:type="dxa"/>
            <w:tcBorders>
              <w:bottom w:val="single" w:sz="4" w:space="0" w:color="auto"/>
            </w:tcBorders>
          </w:tcPr>
          <w:p w14:paraId="5EED9F59"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19956</w:t>
            </w:r>
          </w:p>
        </w:tc>
        <w:tc>
          <w:tcPr>
            <w:tcW w:w="1002" w:type="dxa"/>
            <w:tcBorders>
              <w:bottom w:val="single" w:sz="4" w:space="0" w:color="auto"/>
            </w:tcBorders>
          </w:tcPr>
          <w:p w14:paraId="5D0706A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19976</w:t>
            </w:r>
          </w:p>
        </w:tc>
        <w:tc>
          <w:tcPr>
            <w:tcW w:w="1002" w:type="dxa"/>
            <w:tcBorders>
              <w:bottom w:val="single" w:sz="4" w:space="0" w:color="auto"/>
            </w:tcBorders>
          </w:tcPr>
          <w:p w14:paraId="71970F0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19973</w:t>
            </w:r>
          </w:p>
        </w:tc>
        <w:tc>
          <w:tcPr>
            <w:tcW w:w="1002" w:type="dxa"/>
            <w:tcBorders>
              <w:bottom w:val="single" w:sz="4" w:space="0" w:color="auto"/>
            </w:tcBorders>
          </w:tcPr>
          <w:p w14:paraId="4B2881FE"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19969</w:t>
            </w:r>
          </w:p>
        </w:tc>
      </w:tr>
    </w:tbl>
    <w:p w14:paraId="35B5256E" w14:textId="77777777" w:rsidR="008D0EFE" w:rsidRPr="008D0EFE" w:rsidRDefault="008D0EFE" w:rsidP="008D0EFE">
      <w:pPr>
        <w:rPr>
          <w:rFonts w:ascii="Courier New" w:hAnsi="Courier New" w:cs="Courier New"/>
          <w:lang w:eastAsia="en-GB"/>
        </w:rPr>
      </w:pPr>
    </w:p>
    <w:p w14:paraId="0169C24F" w14:textId="77777777" w:rsidR="008D0EFE" w:rsidRPr="008D0EFE" w:rsidRDefault="008D0EFE" w:rsidP="008D0EFE">
      <w:pPr>
        <w:rPr>
          <w:rFonts w:ascii="Courier New" w:hAnsi="Courier New" w:cs="Courier New"/>
          <w:lang w:eastAsia="en-GB"/>
        </w:rPr>
      </w:pPr>
    </w:p>
    <w:p w14:paraId="514FFFE7" w14:textId="77777777" w:rsidR="008D0EFE" w:rsidRPr="008D0EFE" w:rsidRDefault="008D0EFE" w:rsidP="008D0EFE">
      <w:pPr>
        <w:rPr>
          <w:rFonts w:ascii="Courier New" w:hAnsi="Courier New" w:cs="Courier New"/>
          <w:lang w:eastAsia="en-GB"/>
        </w:rPr>
      </w:pPr>
    </w:p>
    <w:p w14:paraId="05192B65"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MicroResp</w:t>
      </w:r>
      <w:r w:rsidRPr="008D0EFE">
        <w:rPr>
          <w:rFonts w:ascii="Courier New" w:hAnsi="Courier New" w:cs="Courier New"/>
          <w:vertAlign w:val="superscript"/>
          <w:lang w:eastAsia="en-GB"/>
        </w:rPr>
        <w:t>TM</w:t>
      </w:r>
    </w:p>
    <w:p w14:paraId="31A284E7"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 xml:space="preserve">Soil samples were wetted to the same moisture content (40% WHC as per </w:t>
      </w:r>
      <w:r w:rsidRPr="008D0EFE">
        <w:rPr>
          <w:rFonts w:ascii="Courier New" w:hAnsi="Courier New" w:cs="Courier New"/>
          <w:lang w:eastAsia="en-GB"/>
        </w:rPr>
        <w:fldChar w:fldCharType="begin" w:fldLock="1"/>
      </w:r>
      <w:r w:rsidRPr="008D0EFE">
        <w:rPr>
          <w:rFonts w:ascii="Courier New" w:hAnsi="Courier New" w:cs="Courier New"/>
          <w:lang w:eastAsia="en-GB"/>
        </w:rPr>
        <w:instrText>ADDIN CSL_CITATION {"citationItems":[{"id":"ITEM-1","itemData":{"DOI":"10.1128/AEM.69.6.3593","ISSN":"0099-2240","PMID":"12788767","abstract":"Sole-carbon-source tests (Biolog), designed to identify bacteria, have become very popular for metabolically fingerprinting soil microbial communities, despite disadvantages associated with the use of carbon source profiles that primarily select for fast-growing bacteria. In this paper we describe the use of an alternative method that combines the advantages of the Biolog community-level physiological profile (CLPP) method, in which microtiter-based detection plates are used, with the ability to measure carbon dioxide evolution from whole soil. This method facilitates measurement over short periods of time (4 to 6 h) and does not require the extraction and culturing of organisms. Deep-well microtiter plates are used as test wells into which soil is placed. The apparatus to fill the deep-well plates and interface it with a second removable detection plate is described. Two detection systems, a simple colorimetric reaction in absorbent alkali and scintillation counting with radioactive carbon sources, are described. The methods were compared to the Biolog-CLPP system by using soils under different vegetation types and soil treated with wastewater sludge. We aimed to test the hypothesis that using whole soil would have specific advantages over using extracts in that more immediate responses to substrates could be obtained that would reflect activity rather than growth. The whole-soil method was more rapid and gave earlier detection of C source use. Also, the metabolic fingerprints obtained could discriminate between sludge treatments.","author":[{"dropping-particle":"","family":"Campbell","given":"Colin D","non-dropping-particle":"","parse-names":false,"suffix":""},{"dropping-particle":"","family":"Chapman","given":"Stephen J","non-dropping-particle":"","parse-names":false,"suffix":""},{"dropping-particle":"","family":"Cameron","given":"Clare M","non-dropping-particle":"","parse-names":false,"suffix":""},{"dropping-particle":"","family":"Davidson","given":"Mitchell S","non-dropping-particle":"","parse-names":false,"suffix":""},{"dropping-particle":"","family":"Potts","given":"Jacqueline M","non-dropping-particle":"","parse-names":false,"suffix":""}],"container-title":"Applied and environmental microbiology","id":"ITEM-1","issue":"6","issued":{"date-parts":[["2003"]]},"page":"3593-9","title":"A rapid microtiter plate method to measure carbon dioxide evolved from carbon substrate amendments so as to determine the physiological profiles of soil microbial communities by using whole soil.","type":"article-journal","volume":"69"},"uris":["http://www.mendeley.com/documents/?uuid=6ad33118-e159-4aef-b876-c16113d30c90"]}],"mendeley":{"formattedCitation":"(Campbell &lt;i&gt;et al.&lt;/i&gt;, 2003)","manualFormatting":"Campbell et al., 2003)","plainTextFormattedCitation":"(Campbell et al., 2003)","previouslyFormattedCitation":"(Campbell &lt;i&gt;et al.&lt;/i&gt;, 2003)"},"properties":{"noteIndex":0},"schema":"https://github.com/citation-style-language/schema/raw/master/csl-citation.json"}</w:instrText>
      </w:r>
      <w:r w:rsidRPr="008D0EFE">
        <w:rPr>
          <w:rFonts w:ascii="Courier New" w:hAnsi="Courier New" w:cs="Courier New"/>
          <w:lang w:eastAsia="en-GB"/>
        </w:rPr>
        <w:fldChar w:fldCharType="separate"/>
      </w:r>
      <w:r w:rsidRPr="008D0EFE">
        <w:rPr>
          <w:rFonts w:ascii="Courier New" w:hAnsi="Courier New" w:cs="Courier New"/>
          <w:lang w:eastAsia="en-GB"/>
        </w:rPr>
        <w:t xml:space="preserve">Campbell </w:t>
      </w:r>
      <w:r w:rsidRPr="008D0EFE">
        <w:rPr>
          <w:rFonts w:ascii="Courier New" w:hAnsi="Courier New" w:cs="Courier New"/>
          <w:i/>
          <w:lang w:eastAsia="en-GB"/>
        </w:rPr>
        <w:t>et al.</w:t>
      </w:r>
      <w:r w:rsidRPr="008D0EFE">
        <w:rPr>
          <w:rFonts w:ascii="Courier New" w:hAnsi="Courier New" w:cs="Courier New"/>
          <w:lang w:eastAsia="en-GB"/>
        </w:rPr>
        <w:t>, 2003)</w:t>
      </w:r>
      <w:r w:rsidRPr="008D0EFE">
        <w:rPr>
          <w:rFonts w:ascii="Courier New" w:hAnsi="Courier New" w:cs="Courier New"/>
          <w:lang w:eastAsia="en-GB"/>
        </w:rPr>
        <w:fldChar w:fldCharType="end"/>
      </w:r>
      <w:r w:rsidRPr="008D0EFE">
        <w:rPr>
          <w:rFonts w:ascii="Courier New" w:hAnsi="Courier New" w:cs="Courier New"/>
          <w:lang w:eastAsia="en-GB"/>
        </w:rPr>
        <w:t>. Each soil sample was used to fill 24 deepwells per plate, with the plate weighed after each filling. Fully filled and parafilmed deepwell plates were placed into a container with soda lime and wet paper towel for 3 days at 25</w:t>
      </w:r>
      <w:r w:rsidRPr="008D0EFE">
        <w:rPr>
          <w:rFonts w:ascii="Courier New" w:hAnsi="Courier New" w:cs="Courier New"/>
          <w:vertAlign w:val="superscript"/>
          <w:lang w:eastAsia="en-GB"/>
        </w:rPr>
        <w:t>o</w:t>
      </w:r>
      <w:r w:rsidRPr="008D0EFE">
        <w:rPr>
          <w:rFonts w:ascii="Courier New" w:hAnsi="Courier New" w:cs="Courier New"/>
          <w:lang w:eastAsia="en-GB"/>
        </w:rPr>
        <w:t>C to allow the soil to settle after the initial disturbance.</w:t>
      </w:r>
    </w:p>
    <w:p w14:paraId="42D16922" w14:textId="77777777" w:rsidR="008D0EFE" w:rsidRPr="008D0EFE" w:rsidRDefault="008D0EFE" w:rsidP="008D0EFE">
      <w:pPr>
        <w:rPr>
          <w:rFonts w:ascii="Courier New" w:hAnsi="Courier New" w:cs="Courier New"/>
          <w:lang w:eastAsia="en-GB"/>
        </w:rPr>
      </w:pPr>
    </w:p>
    <w:p w14:paraId="76BB27AC"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Indicator solution was made with 18.75mg cresol red, 16.77g KCl and 0.315g NaHCO</w:t>
      </w:r>
      <w:r w:rsidRPr="008D0EFE">
        <w:rPr>
          <w:rFonts w:ascii="Courier New" w:hAnsi="Courier New" w:cs="Courier New"/>
          <w:vertAlign w:val="subscript"/>
          <w:lang w:eastAsia="en-GB"/>
        </w:rPr>
        <w:t>3</w:t>
      </w:r>
      <w:r w:rsidRPr="008D0EFE">
        <w:rPr>
          <w:rFonts w:ascii="Courier New" w:hAnsi="Courier New" w:cs="Courier New"/>
          <w:lang w:eastAsia="en-GB"/>
        </w:rPr>
        <w:t xml:space="preserve"> dissolved by heating in 900ml water. Agar gel was made with 3g agar dissolved in 100ml water. Indicator gel solution was created in a 1:2 agar gel to indicator solution ratio. 150µl of the indicator gel was pipetted into each well of a microplate. Microplates were covered with parafilm and placed in a desiccator with soda lime and a beaker of water in the dark until use.</w:t>
      </w:r>
    </w:p>
    <w:p w14:paraId="04EDE806"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 xml:space="preserve">Carbon substrates chosen were malic acid, citric acid, D-(+)-glucose, D-(+)-galactose, </w:t>
      </w:r>
      <w:r w:rsidRPr="008D0EFE">
        <w:rPr>
          <w:rStyle w:val="normaltextrun"/>
          <w:rFonts w:ascii="Courier New" w:hAnsi="Courier New" w:cs="Courier New"/>
        </w:rPr>
        <w:t>α-ketoglutaric acid, ϒ-amino butyric acid, L-arginine</w:t>
      </w:r>
      <w:r w:rsidRPr="008D0EFE">
        <w:rPr>
          <w:rFonts w:ascii="Courier New" w:hAnsi="Courier New" w:cs="Courier New"/>
          <w:lang w:eastAsia="en-GB"/>
        </w:rPr>
        <w:t xml:space="preserve"> and a water blank </w:t>
      </w:r>
      <w:r w:rsidRPr="008D0EFE">
        <w:rPr>
          <w:rFonts w:ascii="Courier New" w:hAnsi="Courier New" w:cs="Courier New"/>
          <w:lang w:eastAsia="en-GB"/>
        </w:rPr>
        <w:fldChar w:fldCharType="begin" w:fldLock="1"/>
      </w:r>
      <w:r w:rsidRPr="008D0EFE">
        <w:rPr>
          <w:rFonts w:ascii="Courier New" w:hAnsi="Courier New" w:cs="Courier New"/>
          <w:lang w:eastAsia="en-GB"/>
        </w:rPr>
        <w:instrText>ADDIN CSL_CITATION {"citationItems":[{"id":"ITEM-1","itemData":{"DOI":"10.1128/AEM.69.6.3593","ISSN":"0099-2240","PMID":"12788767","abstract":"Sole-carbon-source tests (Biolog), designed to identify bacteria, have become very popular for metabolically fingerprinting soil microbial communities, despite disadvantages associated with the use of carbon source profiles that primarily select for fast-growing bacteria. In this paper we describe the use of an alternative method that combines the advantages of the Biolog community-level physiological profile (CLPP) method, in which microtiter-based detection plates are used, with the ability to measure carbon dioxide evolution from whole soil. This method facilitates measurement over short periods of time (4 to 6 h) and does not require the extraction and culturing of organisms. Deep-well microtiter plates are used as test wells into which soil is placed. The apparatus to fill the deep-well plates and interface it with a second removable detection plate is described. Two detection systems, a simple colorimetric reaction in absorbent alkali and scintillation counting with radioactive carbon sources, are described. The methods were compared to the Biolog-CLPP system by using soils under different vegetation types and soil treated with wastewater sludge. We aimed to test the hypothesis that using whole soil would have specific advantages over using extracts in that more immediate responses to substrates could be obtained that would reflect activity rather than growth. The whole-soil method was more rapid and gave earlier detection of C source use. Also, the metabolic fingerprints obtained could discriminate between sludge treatments.","author":[{"dropping-particle":"","family":"Campbell","given":"Colin D","non-dropping-particle":"","parse-names":false,"suffix":""},{"dropping-particle":"","family":"Chapman","given":"Stephen J","non-dropping-particle":"","parse-names":false,"suffix":""},{"dropping-particle":"","family":"Cameron","given":"Clare M","non-dropping-particle":"","parse-names":false,"suffix":""},{"dropping-particle":"","family":"Davidson","given":"Mitchell S","non-dropping-particle":"","parse-names":false,"suffix":""},{"dropping-particle":"","family":"Potts","given":"Jacqueline M","non-dropping-particle":"","parse-names":false,"suffix":""}],"container-title":"Applied and environmental microbiology","id":"ITEM-1","issue":"6","issued":{"date-parts":[["2003"]]},"page":"3593-9","title":"A rapid microtiter plate method to measure carbon dioxide evolved from carbon substrate amendments so as to determine the physiological profiles of soil microbial communities by using whole soil.","type":"article-journal","volume":"69"},"uris":["http://www.mendeley.com/documents/?uuid=6ad33118-e159-4aef-b876-c16113d30c90"]},{"id":"ITEM-2","itemData":{"DOI":"10.1016/j.soilbio.2013.04.004","ISSN":"00380717","abstract":"Peatland restoration has been implemented on sites exploited for horticultural peat for over a decade in Eastern Canada. However, little is known about nutrient dynamics and microbial processes in this region. Belowground nitrogen (N) and phosphorus (P) transformations and carbon utilisation by microorganisms were examined in a harvested peatland 10 years after restoration measures were implemented to assess whether restoration is returning the peatland to a state that falls within the natural range of variation found in a neighbouring bog. N mineralisation rates were almost 10-fold higher in the surface (0-10cm) compared to the subsurface (10-20cm) layers for all sites and were highly variable within sites. P pools were small (&lt;0.02μgg-1 dry peat) and mineralisation rates of P were low in all sections. In the surface layer, the net mineralisation and ammonification rates appeared to be highest in unrestored sites but lowest in restored sites. In contrast, the capacity of microorganisms in using different carbon (C) sources, also described as microbial functional diversity, was highest at restored sites but lowest at unrestored sites. The preferable C sources varied between sites and were significantly correlated with aboveground vegetation composition. Our study suggests that microbial activity and nutrient transformations differ between natural and unrestored harvested peatlands. Our results indicate that the presence of vegetation regrowth in the unrestored area of a peatland alters belowground processes by stimulating microbial activity and increasing the uptake of nutrients, leading to smaller pools of inorganic N available in the peat. When restoration has been carried out, microbial activity is even higher than in natural conditions, possibly leading to high immobilization of N, and net mineralisation rates are very low. This research indicates that while belowground processes have shifted from unrestored conditions following restoration, they do not appear to be fully re-established to a degree similar to natural conditions 10 years post-restoration. © 2013 Elsevier Ltd.","author":[{"dropping-particle":"","family":"Andersen","given":"Roxane","non-dropping-particle":"","parse-names":false,"suffix":""},{"dropping-particle":"","family":"Wells","given":"Corey","non-dropping-particle":"","parse-names":false,"suffix":""},{"dropping-particle":"","family":"Macrae","given":"Merrin","non-dropping-particle":"","parse-names":false,"suffix":""},{"dropping-particle":"","family":"Price","given":"Jonathan","non-dropping-particle":"","parse-names":false,"suffix":""}],"container-title":"Soil Biology and Biochemistry","id":"ITEM-2","issued":{"date-parts":[["2013"]]},"page":"37-47","publisher":"Elsevier Ltd","title":"Nutrient mineralisation and microbial functional diversity in a restored bog approach natural conditions 10 years post restoration","type":"article-journal","volume":"64"},"uris":["http://www.mendeley.com/documents/?uuid=aa1762d3-5aeb-4c30-85ab-4fce9e620e92"]},{"id":"ITEM-3","itemData":{"DOI":"10.1007/s00374-009-0374-y","ISSN":"01782762","abstract":"The use of indicators in soil monitoring schemes to detect changes in soil quality is receiving increased attention, particularly the application of soil biological methods. However, to date, the ability to compare information from different laboratories applying soil microbiological techniques in broad-scale monitoring has rarely been taken into account. This study aimed to assess the consistency and repeatability of two techniques that are being evaluated for use as microbiological indicators of soil quality: multi-enzyme activity assay and multiple substrate-induced respiration (MSIR). Data were tested for intrinsic (within-assay plate) variation, inter-laboratory repeatability (geometric mean regression and correlation coefficient) and land-use discrimination (principal components analysis). Intrinsic variation was large for both assays suggesting that high replicate numbers are required. Inter-laboratory repeatability showed diverging patterns for the enzyme assay and MSIR. Discrimination of soils was significant for both techniques with relatively consistent patterns; however, combined laboratory discrimination analyses for each technique showed inconsistent correspondence between the laboratories. These issues could be addressed through the adoption of reliable analytical standards for biological methods along with adequate replication. However, until the former is addressed, dispersed analyses are not currently advisable for monitoring schemes. © Springer-Verlag 2009.","author":[{"dropping-particle":"","family":"Creamer","given":"Rachel E.","non-dropping-particle":"","parse-names":false,"suffix":""},{"dropping-particle":"","family":"Bellamy","given":"Pat","non-dropping-particle":"","parse-names":false,"suffix":""},{"dropping-particle":"","family":"Black","given":"Helaina I.J.","non-dropping-particle":"","parse-names":false,"suffix":""},{"dropping-particle":"","family":"Cameron","given":"Clare M.","non-dropping-particle":"","parse-names":false,"suffix":""},{"dropping-particle":"","family":"Campbell","given":"Colin D.","non-dropping-particle":"","parse-names":false,"suffix":""},{"dropping-particle":"","family":"Chamberlain","given":"Paul","non-dropping-particle":"","parse-names":false,"suffix":""},{"dropping-particle":"","family":"Harris","given":"Jim","non-dropping-particle":"","parse-names":false,"suffix":""},{"dropping-particle":"","family":"Parekh","given":"Nisha","non-dropping-particle":"","parse-names":false,"suffix":""},{"dropping-particle":"","family":"Pawlett","given":"Mark","non-dropping-particle":"","parse-names":false,"suffix":""},{"dropping-particle":"","family":"Poskitt","given":"Jan","non-dropping-particle":"","parse-names":false,"suffix":""},{"dropping-particle":"","family":"Stone","given":"Dote","non-dropping-particle":"","parse-names":false,"suffix":""},{"dropping-particle":"","family":"Ritz","given":"Karl","non-dropping-particle":"","parse-names":false,"suffix":""}],"container-title":"Biology and Fertility of Soils","id":"ITEM-3","issue":"6","issued":{"date-parts":[["2009"]]},"page":"623-633","title":"An inter-laboratory comparison of multi-enzyme and multiple substrate-induced respiration assays to assess method consistency in soil monitoring","type":"article-journal","volume":"45"},"uris":["http://www.mendeley.com/documents/?uuid=9875f8e2-c306-43e1-a8e9-c8fd16446825"]},{"id":"ITEM-4","itemData":{"DOI":"10.1016/j.apsoil.2015.08.004","ISSN":"09291393","abstract":"A European \"transect\" was established to assess soil microbial activity, using the MicroResp™ method, as part of a larger project looking at soil biodiversity and function across Europe. 81 sites were sampled across five biogeographical zones described and mapped in the EEA report (. EEA, 2012) and included the following classes; Boreal, Atlantic, Continental, Mediterranean and Alpine, three land-use types (Arable, Grass and Forest) incorporating a wide range of soil pH, soil organic carbon (org C) and texture. Seven carbon substrates were used to determine multiple substrate induced respiration (MSIR), incorporating; acids, bases, sugars and amino acids. Substrates included: D-(+)-galactose, l-malic acid, gamma amino butyric acid, n-acetyl glucosamine, D-(+)-glucose, alpha ketogluterate, citric acid and water. MicroResp™ results showed discrimination of land-use type over a large spatial scale and response to soil pH and soil organic carbon. Substrates behaved differently depending upon combinations of land-use and soil properties specifically the greater utilisation of carboxylic acid based substrates in arable sites.","author":[{"dropping-particle":"","family":"Creamer","given":"R. E.","non-dropping-particle":"","parse-names":false,"suffix":""},{"dropping-particle":"","family":"Stone","given":"D.","non-dropping-particle":"","parse-names":false,"suffix":""},{"dropping-particle":"","family":"Berry","given":"P.","non-dropping-particle":"","parse-names":false,"suffix":""},{"dropping-particle":"","family":"Kuiper","given":"I.","non-dropping-particle":"","parse-names":false,"suffix":""}],"container-title":"Applied Soil Ecology","id":"ITEM-4","issued":{"date-parts":[["2016"]]},"page":"36-43","publisher":"Elsevier B.V.","title":"Measuring respiration profiles of soil microbial communities across Europe using MicroResp™ method","type":"article-journal","volume":"97"},"uris":["http://www.mendeley.com/documents/?uuid=b3ef8474-5cc9-4eba-8be8-4f06a1dba092"]},{"id":"ITEM-5","itemData":{"DOI":"10.1016/j.pedobi.2018.01.001","ISSN":"00314056","abstract":"The assessment of microbial functional diversity is an important indicator of soil quality. Different methodological approaches are currently used; among them are enzyme activities (EA) and CLPP (community level physiological profile) techniques (e.g. MicroResp™ MR). The aims of the study were: i) to assess the efficacy of both methods in capturing differences among various land use categories when different levels of selected explanatory variables such as, total organic carbon (TOC) and pH are considered, and ii) to explore, through a quantile regression approach, the possible relationships between each of the two methods with land use category, TOC and pH. The Shannon diversity index (H’), calculated from EA and MR data, was chosen as a synthetic index deriving from the same mathematical model. The quantile regression model (QRM), the Kruskal-Wallis and Spearman rank correlation tests were performed. Enzyme activities and MicroResp were reliable ecological indicators to assess soil microbial functional diversity. No correlation was found between the diversity indexes, H'EA and H'MR; it was therefore supposed that the two methods may target complementary components of microbial functional diversity. Both methods were effective in capturing differences among various land use categories, in particular H'MR in soils with low TOC content (&lt;1.5%). Moreover, the QRM approach allowed a more detailed analysis along the distribution of the diversity indexes (H'EA and H'MR) indicating that H'EA was more dependent on the selected variables.","author":[{"dropping-particle":"","family":"Moscatelli","given":"M. C.","non-dropping-particle":"","parse-names":false,"suffix":""},{"dropping-particle":"","family":"Secondi","given":"L.","non-dropping-particle":"","parse-names":false,"suffix":""},{"dropping-particle":"","family":"Marabottini","given":"R.","non-dropping-particle":"","parse-names":false,"suffix":""},{"dropping-particle":"","family":"Papp","given":"R.","non-dropping-particle":"","parse-names":false,"suffix":""},{"dropping-particle":"","family":"Stazi","given":"S. R.","non-dropping-particle":"","parse-names":false,"suffix":""},{"dropping-particle":"","family":"Mania","given":"E.","non-dropping-particle":"","parse-names":false,"suffix":""},{"dropping-particle":"","family":"Marinari","given":"S.","non-dropping-particle":"","parse-names":false,"suffix":""}],"container-title":"Pedobiologia","id":"ITEM-5","issue":"July 2017","issued":{"date-parts":[["2018"]]},"page":"36-42","publisher":"Elsevier","title":"Assessment of soil microbial functional diversity: land use and soil properties affect CLPP-MicroResp and enzymes responses","type":"article-journal","volume":"66"},"uris":["http://www.mendeley.com/documents/?uuid=7607d418-8f71-4f7c-89f3-78f8a6453408"]}],"mendeley":{"formattedCitation":"(Campbell &lt;i&gt;et al.&lt;/i&gt;, 2003; Creamer &lt;i&gt;et al.&lt;/i&gt;, 2009, 2016; Andersen &lt;i&gt;et al.&lt;/i&gt;, 2013; Moscatelli &lt;i&gt;et al.&lt;/i&gt;, 2018)","plainTextFormattedCitation":"(Campbell et al., 2003; Creamer et al., 2009, 2016; Andersen et al., 2013; Moscatelli et al., 2018)","previouslyFormattedCitation":"(Campbell &lt;i&gt;et al.&lt;/i&gt;, 2003; Creamer &lt;i&gt;et al.&lt;/i&gt;, 2009, 2016; Andersen &lt;i&gt;et al.&lt;/i&gt;, 2013; Moscatelli &lt;i&gt;et al.&lt;/i&gt;, 2018)"},"properties":{"noteIndex":0},"schema":"https://github.com/citation-style-language/schema/raw/master/csl-citation.json"}</w:instrText>
      </w:r>
      <w:r w:rsidRPr="008D0EFE">
        <w:rPr>
          <w:rFonts w:ascii="Courier New" w:hAnsi="Courier New" w:cs="Courier New"/>
          <w:lang w:eastAsia="en-GB"/>
        </w:rPr>
        <w:fldChar w:fldCharType="separate"/>
      </w:r>
      <w:r w:rsidRPr="008D0EFE">
        <w:rPr>
          <w:rFonts w:ascii="Courier New" w:hAnsi="Courier New" w:cs="Courier New"/>
          <w:lang w:eastAsia="en-GB"/>
        </w:rPr>
        <w:t xml:space="preserve">(Campbell </w:t>
      </w:r>
      <w:r w:rsidRPr="008D0EFE">
        <w:rPr>
          <w:rFonts w:ascii="Courier New" w:hAnsi="Courier New" w:cs="Courier New"/>
          <w:i/>
          <w:lang w:eastAsia="en-GB"/>
        </w:rPr>
        <w:t>et al.</w:t>
      </w:r>
      <w:r w:rsidRPr="008D0EFE">
        <w:rPr>
          <w:rFonts w:ascii="Courier New" w:hAnsi="Courier New" w:cs="Courier New"/>
          <w:lang w:eastAsia="en-GB"/>
        </w:rPr>
        <w:t xml:space="preserve">, 2003; Creamer </w:t>
      </w:r>
      <w:r w:rsidRPr="008D0EFE">
        <w:rPr>
          <w:rFonts w:ascii="Courier New" w:hAnsi="Courier New" w:cs="Courier New"/>
          <w:i/>
          <w:lang w:eastAsia="en-GB"/>
        </w:rPr>
        <w:t>et al.</w:t>
      </w:r>
      <w:r w:rsidRPr="008D0EFE">
        <w:rPr>
          <w:rFonts w:ascii="Courier New" w:hAnsi="Courier New" w:cs="Courier New"/>
          <w:lang w:eastAsia="en-GB"/>
        </w:rPr>
        <w:t xml:space="preserve">, 2009, 2016; Andersen </w:t>
      </w:r>
      <w:r w:rsidRPr="008D0EFE">
        <w:rPr>
          <w:rFonts w:ascii="Courier New" w:hAnsi="Courier New" w:cs="Courier New"/>
          <w:i/>
          <w:lang w:eastAsia="en-GB"/>
        </w:rPr>
        <w:t>et al.</w:t>
      </w:r>
      <w:r w:rsidRPr="008D0EFE">
        <w:rPr>
          <w:rFonts w:ascii="Courier New" w:hAnsi="Courier New" w:cs="Courier New"/>
          <w:lang w:eastAsia="en-GB"/>
        </w:rPr>
        <w:t xml:space="preserve">, 2013; Moscatelli </w:t>
      </w:r>
      <w:r w:rsidRPr="008D0EFE">
        <w:rPr>
          <w:rFonts w:ascii="Courier New" w:hAnsi="Courier New" w:cs="Courier New"/>
          <w:i/>
          <w:lang w:eastAsia="en-GB"/>
        </w:rPr>
        <w:t>et al.</w:t>
      </w:r>
      <w:r w:rsidRPr="008D0EFE">
        <w:rPr>
          <w:rFonts w:ascii="Courier New" w:hAnsi="Courier New" w:cs="Courier New"/>
          <w:lang w:eastAsia="en-GB"/>
        </w:rPr>
        <w:t>, 2018)</w:t>
      </w:r>
      <w:r w:rsidRPr="008D0EFE">
        <w:rPr>
          <w:rFonts w:ascii="Courier New" w:hAnsi="Courier New" w:cs="Courier New"/>
          <w:lang w:eastAsia="en-GB"/>
        </w:rPr>
        <w:fldChar w:fldCharType="end"/>
      </w:r>
      <w:r w:rsidRPr="008D0EFE">
        <w:rPr>
          <w:rFonts w:ascii="Courier New" w:hAnsi="Courier New" w:cs="Courier New"/>
          <w:lang w:eastAsia="en-GB"/>
        </w:rPr>
        <w:t xml:space="preserve">. </w:t>
      </w:r>
      <w:r w:rsidRPr="008D0EFE">
        <w:rPr>
          <w:rFonts w:ascii="Courier New" w:hAnsi="Courier New" w:cs="Courier New"/>
          <w:lang w:eastAsia="en-GB"/>
        </w:rPr>
        <w:lastRenderedPageBreak/>
        <w:t>Substrates were prepared as 30mg g</w:t>
      </w:r>
      <w:r w:rsidRPr="008D0EFE">
        <w:rPr>
          <w:rFonts w:ascii="Courier New" w:hAnsi="Courier New" w:cs="Courier New"/>
          <w:vertAlign w:val="superscript"/>
          <w:lang w:eastAsia="en-GB"/>
        </w:rPr>
        <w:t>-1</w:t>
      </w:r>
      <w:r w:rsidRPr="008D0EFE">
        <w:rPr>
          <w:rFonts w:ascii="Courier New" w:hAnsi="Courier New" w:cs="Courier New"/>
          <w:lang w:eastAsia="en-GB"/>
        </w:rPr>
        <w:t xml:space="preserve"> of soil water calculated from the prior weighing of the deepwell plates during soil addition. </w:t>
      </w:r>
    </w:p>
    <w:p w14:paraId="35EAEF71" w14:textId="77777777" w:rsidR="008D0EFE" w:rsidRPr="008D0EFE" w:rsidRDefault="008D0EFE" w:rsidP="008D0EFE">
      <w:pPr>
        <w:rPr>
          <w:rFonts w:ascii="Courier New" w:hAnsi="Courier New" w:cs="Courier New"/>
          <w:lang w:eastAsia="en-GB"/>
        </w:rPr>
      </w:pPr>
    </w:p>
    <w:p w14:paraId="10F0A3E9"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25µl of each substrate was pipetted into each of the soil containing deepwells (3 replicates per substrate). Initial measurement for time zero was taken with the microplate filled with indicator gel on the SpectraMax i3x (Molecular Devices Limited, San Jose, CA, US) with absorbance set to 570nm. The read microplate was clamped together and divided with a rubber seal with the substrate/soil filled deepwell plate for 6 hours at 25</w:t>
      </w:r>
      <w:r w:rsidRPr="008D0EFE">
        <w:rPr>
          <w:rFonts w:ascii="Courier New" w:hAnsi="Courier New" w:cs="Courier New"/>
          <w:vertAlign w:val="superscript"/>
          <w:lang w:eastAsia="en-GB"/>
        </w:rPr>
        <w:t>o</w:t>
      </w:r>
      <w:r w:rsidRPr="008D0EFE">
        <w:rPr>
          <w:rFonts w:ascii="Courier New" w:hAnsi="Courier New" w:cs="Courier New"/>
          <w:lang w:eastAsia="en-GB"/>
        </w:rPr>
        <w:t>C. The microplate was reread after the 6 hour incubation to measure final absorbance, again set to 570nm.</w:t>
      </w:r>
    </w:p>
    <w:p w14:paraId="7ACCDDA9" w14:textId="77777777" w:rsidR="008D0EFE" w:rsidRPr="008D0EFE" w:rsidRDefault="008D0EFE" w:rsidP="008D0EFE">
      <w:pPr>
        <w:rPr>
          <w:rFonts w:ascii="Courier New" w:hAnsi="Courier New" w:cs="Courier New"/>
          <w:lang w:eastAsia="en-GB"/>
        </w:rPr>
      </w:pPr>
    </w:p>
    <w:p w14:paraId="20608931" w14:textId="77777777" w:rsidR="008D0EFE" w:rsidRPr="008D0EFE" w:rsidRDefault="008D0EFE" w:rsidP="008D0EFE">
      <w:pPr>
        <w:rPr>
          <w:rFonts w:ascii="Courier New" w:hAnsi="Courier New" w:cs="Courier New"/>
          <w:lang w:eastAsia="en-GB"/>
        </w:rPr>
      </w:pPr>
      <w:r w:rsidRPr="008D0EFE">
        <w:rPr>
          <w:rFonts w:ascii="Courier New" w:hAnsi="Courier New" w:cs="Courier New"/>
          <w:lang w:eastAsia="en-GB"/>
        </w:rPr>
        <w:t>Multiple substrate-induced respiration (MSIR) was calculated by subtracting the water blank basal rate from the substrate-induced respiration values recorded as µg C-CO</w:t>
      </w:r>
      <w:r w:rsidRPr="008D0EFE">
        <w:rPr>
          <w:rFonts w:ascii="Courier New" w:hAnsi="Courier New" w:cs="Courier New"/>
          <w:vertAlign w:val="subscript"/>
          <w:lang w:eastAsia="en-GB"/>
        </w:rPr>
        <w:t xml:space="preserve">2 </w:t>
      </w:r>
      <w:r w:rsidRPr="008D0EFE">
        <w:rPr>
          <w:rFonts w:ascii="Courier New" w:hAnsi="Courier New" w:cs="Courier New"/>
          <w:lang w:eastAsia="en-GB"/>
        </w:rPr>
        <w:t>g</w:t>
      </w:r>
      <w:r w:rsidRPr="008D0EFE">
        <w:rPr>
          <w:rFonts w:ascii="Courier New" w:hAnsi="Courier New" w:cs="Courier New"/>
          <w:vertAlign w:val="superscript"/>
          <w:lang w:eastAsia="en-GB"/>
        </w:rPr>
        <w:t xml:space="preserve">-1 </w:t>
      </w:r>
      <w:r w:rsidRPr="008D0EFE">
        <w:rPr>
          <w:rFonts w:ascii="Courier New" w:hAnsi="Courier New" w:cs="Courier New"/>
          <w:lang w:eastAsia="en-GB"/>
        </w:rPr>
        <w:t>hr</w:t>
      </w:r>
      <w:r w:rsidRPr="008D0EFE">
        <w:rPr>
          <w:rFonts w:ascii="Courier New" w:hAnsi="Courier New" w:cs="Courier New"/>
          <w:vertAlign w:val="superscript"/>
          <w:lang w:eastAsia="en-GB"/>
        </w:rPr>
        <w:t xml:space="preserve">-1 </w:t>
      </w:r>
      <w:r w:rsidRPr="008D0EFE">
        <w:rPr>
          <w:rFonts w:ascii="Courier New" w:hAnsi="Courier New" w:cs="Courier New"/>
          <w:lang w:eastAsia="en-GB"/>
        </w:rPr>
        <w:t>. Microbial functional diversity values were calculated from the Shannon-Weiner biodiversity (H</w:t>
      </w:r>
      <w:r w:rsidRPr="008D0EFE">
        <w:rPr>
          <w:rFonts w:ascii="Courier New" w:hAnsi="Courier New" w:cs="Courier New"/>
          <w:vertAlign w:val="subscript"/>
          <w:lang w:eastAsia="en-GB"/>
        </w:rPr>
        <w:t>mic</w:t>
      </w:r>
      <w:r w:rsidRPr="008D0EFE">
        <w:rPr>
          <w:rFonts w:ascii="Courier New" w:hAnsi="Courier New" w:cs="Courier New"/>
          <w:lang w:eastAsia="en-GB"/>
        </w:rPr>
        <w:t xml:space="preserve">) derived from substrate use </w:t>
      </w:r>
      <w:r w:rsidRPr="008D0EFE">
        <w:rPr>
          <w:rFonts w:ascii="Courier New" w:hAnsi="Courier New" w:cs="Courier New"/>
          <w:lang w:eastAsia="en-GB"/>
        </w:rPr>
        <w:fldChar w:fldCharType="begin" w:fldLock="1"/>
      </w:r>
      <w:r w:rsidRPr="008D0EFE">
        <w:rPr>
          <w:rFonts w:ascii="Courier New" w:hAnsi="Courier New" w:cs="Courier New"/>
          <w:lang w:eastAsia="en-GB"/>
        </w:rPr>
        <w:instrText>ADDIN CSL_CITATION {"citationItems":[{"id":"ITEM-1","itemData":{"DOI":"10.1007/s10342-016-0968-5","ISSN":"16124669","abstract":"Scots pine (Pinus sylvestris L.) is one of the most widespread conifer species in Europe, able to tolerate a wide variety of climatic conditions. The aim of the study was to compare the activity, functional diversity and community-level physiological profiles (CLPPs) of soil microorganisms in Scots pine forests of the boreal and temperate climatic zones. The soil samples were taken from the O and A soil horizons in northern Finland (boreal pine forest, BP) and Poland (dry and mesic temperate pine forest, TDP and TMP, respectively) and measured for water-holding capacity, pH, organic C, dissolved organic C (DOC) and the total contents of N, P, Ca, Mg, K, Na and Mn. The microbial activity (multiple substrate-induced respiration rate) and functional diversification (community-level physiological profiles, CLPPs) were assessed using the MicroResp™ system with 22 different C substrates. The BP soils were finer textured and contained more Ca, K, Mg, Mn and Na but less N and P than the soils under the temperate forests. The pH values did not differ between the studied forests. The studied pine forests did not differ in the measured microbial properties in the O horizon. However, in the A horizon, the microorganisms from the BP soil were less active and less functionally diverse than those from the temperate forest soils. The CLPPs of the BP soils differed from those of the temperate forest soils, wherein the largest difference was from the use of carboxylic acids and amino acids. The microorganisms from the BP soils used carboxylic acids more efficiently but were much less efficient in decomposing amino acids than those from the temperate forest soils. These differences were related to the contents of DOC, N and P which are influenced by climate and bedrock properties. Our results indicate that soil microbial properties in the O horizon depend mainly on the vegetation, whereas in deeper layers, they depend to a larger extent on bedrock properties and climatic conditions.","author":[{"dropping-particle":"","family":"Klimek","given":"Beata","non-dropping-particle":"","parse-names":false,"suffix":""},{"dropping-particle":"","family":"Chodak","given":"Marcin","non-dropping-particle":"","parse-names":false,"suffix":""},{"dropping-particle":"","family":"Jaźwa","given":"Małgorzata","non-dropping-particle":"","parse-names":false,"suffix":""},{"dropping-particle":"","family":"Niklińska","given":"Maria","non-dropping-particle":"","parse-names":false,"suffix":""}],"container-title":"European Journal of Forest Research","id":"ITEM-1","issue":"4","issued":{"date-parts":[["2016"]]},"page":"731-742","title":"Functional diversity of soil microbial communities in boreal and temperate Scots pine forests","type":"article-journal","volume":"135"},"uris":["http://www.mendeley.com/documents/?uuid=d222f5b4-679a-4160-8778-2ad08c674df3"]}],"mendeley":{"formattedCitation":"(Klimek &lt;i&gt;et al.&lt;/i&gt;, 2016)","plainTextFormattedCitation":"(Klimek et al., 2016)","previouslyFormattedCitation":"(Klimek &lt;i&gt;et al.&lt;/i&gt;, 2016)"},"properties":{"noteIndex":0},"schema":"https://github.com/citation-style-language/schema/raw/master/csl-citation.json"}</w:instrText>
      </w:r>
      <w:r w:rsidRPr="008D0EFE">
        <w:rPr>
          <w:rFonts w:ascii="Courier New" w:hAnsi="Courier New" w:cs="Courier New"/>
          <w:lang w:eastAsia="en-GB"/>
        </w:rPr>
        <w:fldChar w:fldCharType="separate"/>
      </w:r>
      <w:r w:rsidRPr="008D0EFE">
        <w:rPr>
          <w:rFonts w:ascii="Courier New" w:hAnsi="Courier New" w:cs="Courier New"/>
          <w:lang w:eastAsia="en-GB"/>
        </w:rPr>
        <w:t xml:space="preserve">(Klimek </w:t>
      </w:r>
      <w:r w:rsidRPr="008D0EFE">
        <w:rPr>
          <w:rFonts w:ascii="Courier New" w:hAnsi="Courier New" w:cs="Courier New"/>
          <w:i/>
          <w:lang w:eastAsia="en-GB"/>
        </w:rPr>
        <w:t>et al.</w:t>
      </w:r>
      <w:r w:rsidRPr="008D0EFE">
        <w:rPr>
          <w:rFonts w:ascii="Courier New" w:hAnsi="Courier New" w:cs="Courier New"/>
          <w:lang w:eastAsia="en-GB"/>
        </w:rPr>
        <w:t>, 2016)</w:t>
      </w:r>
      <w:r w:rsidRPr="008D0EFE">
        <w:rPr>
          <w:rFonts w:ascii="Courier New" w:hAnsi="Courier New" w:cs="Courier New"/>
          <w:lang w:eastAsia="en-GB"/>
        </w:rPr>
        <w:fldChar w:fldCharType="end"/>
      </w:r>
      <w:r w:rsidRPr="008D0EFE">
        <w:rPr>
          <w:rFonts w:ascii="Courier New" w:hAnsi="Courier New" w:cs="Courier New"/>
          <w:lang w:eastAsia="en-GB"/>
        </w:rPr>
        <w:t>.</w:t>
      </w:r>
    </w:p>
    <w:p w14:paraId="327BECC0" w14:textId="77777777" w:rsidR="008D0EFE" w:rsidRDefault="008D0EFE" w:rsidP="008D0EFE"/>
    <w:p w14:paraId="4A6E7D9B" w14:textId="77777777" w:rsidR="006015FB" w:rsidRDefault="006015FB"/>
    <w:sectPr w:rsidR="00601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2F97"/>
    <w:multiLevelType w:val="hybridMultilevel"/>
    <w:tmpl w:val="C70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86847"/>
    <w:multiLevelType w:val="hybridMultilevel"/>
    <w:tmpl w:val="B130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12A6E"/>
    <w:multiLevelType w:val="hybridMultilevel"/>
    <w:tmpl w:val="89F8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125DF"/>
    <w:multiLevelType w:val="multilevel"/>
    <w:tmpl w:val="2E76B42C"/>
    <w:lvl w:ilvl="0">
      <w:start w:val="1"/>
      <w:numFmt w:val="decimal"/>
      <w:pStyle w:val="Heading1"/>
      <w:suff w:val="space"/>
      <w:lvlText w:val="Chapter %1."/>
      <w:lvlJc w:val="left"/>
      <w:pPr>
        <w:ind w:left="0" w:firstLine="0"/>
      </w:pPr>
      <w:rPr>
        <w:rFonts w:hint="default"/>
        <w:b/>
        <w:bCs/>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asciiTheme="majorBidi" w:hAnsiTheme="majorBidi" w:cstheme="majorBidi" w:hint="default"/>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796488860">
    <w:abstractNumId w:val="3"/>
  </w:num>
  <w:num w:numId="2" w16cid:durableId="1164928708">
    <w:abstractNumId w:val="1"/>
  </w:num>
  <w:num w:numId="3" w16cid:durableId="734742200">
    <w:abstractNumId w:val="2"/>
  </w:num>
  <w:num w:numId="4" w16cid:durableId="165703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B1"/>
    <w:rsid w:val="00034489"/>
    <w:rsid w:val="00093674"/>
    <w:rsid w:val="000B2C72"/>
    <w:rsid w:val="00113C31"/>
    <w:rsid w:val="001F6133"/>
    <w:rsid w:val="00215AEF"/>
    <w:rsid w:val="002751E7"/>
    <w:rsid w:val="00277FDB"/>
    <w:rsid w:val="004160CC"/>
    <w:rsid w:val="00437CB6"/>
    <w:rsid w:val="00554DB1"/>
    <w:rsid w:val="00567E20"/>
    <w:rsid w:val="006015FB"/>
    <w:rsid w:val="00623D05"/>
    <w:rsid w:val="0065748D"/>
    <w:rsid w:val="006B2BC1"/>
    <w:rsid w:val="00710B4C"/>
    <w:rsid w:val="0071229A"/>
    <w:rsid w:val="00713497"/>
    <w:rsid w:val="007370CE"/>
    <w:rsid w:val="007A6C63"/>
    <w:rsid w:val="008C4745"/>
    <w:rsid w:val="008C5363"/>
    <w:rsid w:val="008D0EFE"/>
    <w:rsid w:val="00966DAE"/>
    <w:rsid w:val="009671AB"/>
    <w:rsid w:val="00AC140D"/>
    <w:rsid w:val="00AF1CD7"/>
    <w:rsid w:val="00BB4792"/>
    <w:rsid w:val="00D424DA"/>
    <w:rsid w:val="00D47A5C"/>
    <w:rsid w:val="00E57047"/>
    <w:rsid w:val="00ED34E1"/>
    <w:rsid w:val="00F51C07"/>
    <w:rsid w:val="00F666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7978"/>
  <w15:chartTrackingRefBased/>
  <w15:docId w15:val="{5F0C4E2C-53FA-4F0A-B616-7301BC10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aliases w:val="ChapterSS"/>
    <w:basedOn w:val="Normal"/>
    <w:next w:val="Heading2"/>
    <w:link w:val="Heading1Char"/>
    <w:uiPriority w:val="9"/>
    <w:qFormat/>
    <w:rsid w:val="008D0EFE"/>
    <w:pPr>
      <w:keepNext/>
      <w:keepLines/>
      <w:numPr>
        <w:numId w:val="1"/>
      </w:numPr>
      <w:spacing w:before="240" w:after="0" w:line="480" w:lineRule="auto"/>
      <w:jc w:val="both"/>
      <w:outlineLvl w:val="0"/>
    </w:pPr>
    <w:rPr>
      <w:rFonts w:ascii="Times New Roman" w:eastAsiaTheme="majorEastAsia" w:hAnsi="Times New Roman" w:cstheme="majorBidi"/>
      <w:kern w:val="0"/>
      <w:sz w:val="28"/>
      <w:szCs w:val="32"/>
      <w14:ligatures w14:val="none"/>
    </w:rPr>
  </w:style>
  <w:style w:type="paragraph" w:styleId="Heading2">
    <w:name w:val="heading 2"/>
    <w:aliases w:val="SectionSS"/>
    <w:basedOn w:val="Normal"/>
    <w:next w:val="Text"/>
    <w:link w:val="Heading2Char"/>
    <w:uiPriority w:val="9"/>
    <w:unhideWhenUsed/>
    <w:qFormat/>
    <w:rsid w:val="008D0EFE"/>
    <w:pPr>
      <w:keepNext/>
      <w:keepLines/>
      <w:numPr>
        <w:ilvl w:val="1"/>
        <w:numId w:val="1"/>
      </w:numPr>
      <w:spacing w:before="40" w:after="0" w:line="480" w:lineRule="auto"/>
      <w:jc w:val="both"/>
      <w:outlineLvl w:val="1"/>
    </w:pPr>
    <w:rPr>
      <w:rFonts w:ascii="Times New Roman" w:eastAsiaTheme="majorEastAsia" w:hAnsi="Times New Roman" w:cstheme="majorBidi"/>
      <w:b/>
      <w:kern w:val="0"/>
      <w:sz w:val="24"/>
      <w:szCs w:val="26"/>
      <w14:ligatures w14:val="none"/>
    </w:rPr>
  </w:style>
  <w:style w:type="paragraph" w:styleId="Heading3">
    <w:name w:val="heading 3"/>
    <w:aliases w:val="Subsection"/>
    <w:basedOn w:val="Normal"/>
    <w:next w:val="Text"/>
    <w:link w:val="Heading3Char"/>
    <w:uiPriority w:val="9"/>
    <w:unhideWhenUsed/>
    <w:qFormat/>
    <w:rsid w:val="008D0EFE"/>
    <w:pPr>
      <w:keepNext/>
      <w:keepLines/>
      <w:numPr>
        <w:ilvl w:val="2"/>
        <w:numId w:val="1"/>
      </w:numPr>
      <w:spacing w:before="40" w:after="0" w:line="480" w:lineRule="auto"/>
      <w:jc w:val="both"/>
      <w:outlineLvl w:val="2"/>
    </w:pPr>
    <w:rPr>
      <w:rFonts w:ascii="Times New Roman" w:eastAsiaTheme="majorEastAsia" w:hAnsi="Times New Roman" w:cstheme="majorBidi"/>
      <w: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554DB1"/>
    <w:rPr>
      <w:rFonts w:ascii="Courier New" w:eastAsia="Times New Roman" w:hAnsi="Courier New" w:cs="Courier New"/>
      <w:kern w:val="0"/>
      <w:sz w:val="20"/>
      <w:szCs w:val="20"/>
      <w:lang w:eastAsia="en-GB"/>
      <w14:ligatures w14:val="none"/>
    </w:rPr>
  </w:style>
  <w:style w:type="character" w:customStyle="1" w:styleId="Heading1Char">
    <w:name w:val="Heading 1 Char"/>
    <w:aliases w:val="ChapterSS Char"/>
    <w:basedOn w:val="DefaultParagraphFont"/>
    <w:link w:val="Heading1"/>
    <w:uiPriority w:val="9"/>
    <w:rsid w:val="008D0EFE"/>
    <w:rPr>
      <w:rFonts w:ascii="Times New Roman" w:eastAsiaTheme="majorEastAsia" w:hAnsi="Times New Roman" w:cstheme="majorBidi"/>
      <w:noProof/>
      <w:kern w:val="0"/>
      <w:sz w:val="28"/>
      <w:szCs w:val="32"/>
      <w14:ligatures w14:val="none"/>
    </w:rPr>
  </w:style>
  <w:style w:type="character" w:customStyle="1" w:styleId="Heading2Char">
    <w:name w:val="Heading 2 Char"/>
    <w:aliases w:val="SectionSS Char"/>
    <w:basedOn w:val="DefaultParagraphFont"/>
    <w:link w:val="Heading2"/>
    <w:uiPriority w:val="9"/>
    <w:rsid w:val="008D0EFE"/>
    <w:rPr>
      <w:rFonts w:ascii="Times New Roman" w:eastAsiaTheme="majorEastAsia" w:hAnsi="Times New Roman" w:cstheme="majorBidi"/>
      <w:b/>
      <w:noProof/>
      <w:kern w:val="0"/>
      <w:sz w:val="24"/>
      <w:szCs w:val="26"/>
      <w14:ligatures w14:val="none"/>
    </w:rPr>
  </w:style>
  <w:style w:type="character" w:customStyle="1" w:styleId="Heading3Char">
    <w:name w:val="Heading 3 Char"/>
    <w:aliases w:val="Subsection Char"/>
    <w:basedOn w:val="DefaultParagraphFont"/>
    <w:link w:val="Heading3"/>
    <w:uiPriority w:val="9"/>
    <w:rsid w:val="008D0EFE"/>
    <w:rPr>
      <w:rFonts w:ascii="Times New Roman" w:eastAsiaTheme="majorEastAsia" w:hAnsi="Times New Roman" w:cstheme="majorBidi"/>
      <w:i/>
      <w:noProof/>
      <w:kern w:val="0"/>
      <w:sz w:val="24"/>
      <w:szCs w:val="24"/>
      <w14:ligatures w14:val="none"/>
    </w:rPr>
  </w:style>
  <w:style w:type="paragraph" w:customStyle="1" w:styleId="Text">
    <w:name w:val="Text"/>
    <w:basedOn w:val="Normal"/>
    <w:link w:val="TextChar"/>
    <w:qFormat/>
    <w:rsid w:val="008D0EFE"/>
    <w:pPr>
      <w:spacing w:line="480" w:lineRule="auto"/>
      <w:ind w:firstLine="720"/>
      <w:jc w:val="both"/>
    </w:pPr>
    <w:rPr>
      <w:rFonts w:ascii="Times New Roman" w:eastAsiaTheme="majorEastAsia" w:hAnsi="Times New Roman" w:cs="Arial"/>
      <w:color w:val="262626" w:themeColor="text1" w:themeTint="D9"/>
      <w:kern w:val="24"/>
      <w:sz w:val="24"/>
      <w14:ligatures w14:val="none"/>
    </w:rPr>
  </w:style>
  <w:style w:type="character" w:customStyle="1" w:styleId="TextChar">
    <w:name w:val="Text Char"/>
    <w:basedOn w:val="DefaultParagraphFont"/>
    <w:link w:val="Text"/>
    <w:rsid w:val="008D0EFE"/>
    <w:rPr>
      <w:rFonts w:ascii="Times New Roman" w:eastAsiaTheme="majorEastAsia" w:hAnsi="Times New Roman" w:cs="Arial"/>
      <w:noProof/>
      <w:color w:val="262626" w:themeColor="text1" w:themeTint="D9"/>
      <w:kern w:val="24"/>
      <w:sz w:val="24"/>
      <w14:ligatures w14:val="none"/>
    </w:rPr>
  </w:style>
  <w:style w:type="paragraph" w:styleId="NoSpacing">
    <w:name w:val="No Spacing"/>
    <w:aliases w:val="References"/>
    <w:uiPriority w:val="1"/>
    <w:qFormat/>
    <w:rsid w:val="008D0EFE"/>
    <w:pPr>
      <w:spacing w:after="0" w:line="480" w:lineRule="auto"/>
      <w:ind w:left="720" w:hanging="720"/>
      <w:jc w:val="both"/>
    </w:pPr>
    <w:rPr>
      <w:rFonts w:ascii="Times New Roman" w:hAnsi="Times New Roman"/>
      <w:kern w:val="0"/>
      <w14:ligatures w14:val="none"/>
    </w:rPr>
  </w:style>
  <w:style w:type="table" w:styleId="TableGrid">
    <w:name w:val="Table Grid"/>
    <w:basedOn w:val="TableNormal"/>
    <w:uiPriority w:val="39"/>
    <w:rsid w:val="008D0E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0EFE"/>
    <w:pPr>
      <w:spacing w:after="200" w:line="240" w:lineRule="auto"/>
    </w:pPr>
    <w:rPr>
      <w:i/>
      <w:iCs/>
      <w:color w:val="44546A" w:themeColor="text2"/>
      <w:kern w:val="0"/>
      <w:sz w:val="18"/>
      <w:szCs w:val="18"/>
      <w14:ligatures w14:val="none"/>
    </w:rPr>
  </w:style>
  <w:style w:type="character" w:customStyle="1" w:styleId="normaltextrun">
    <w:name w:val="normaltextrun"/>
    <w:basedOn w:val="DefaultParagraphFont"/>
    <w:rsid w:val="008D0EFE"/>
  </w:style>
  <w:style w:type="character" w:styleId="SubtleEmphasis">
    <w:name w:val="Subtle Emphasis"/>
    <w:basedOn w:val="DefaultParagraphFont"/>
    <w:uiPriority w:val="19"/>
    <w:qFormat/>
    <w:rsid w:val="008D0EFE"/>
    <w:rPr>
      <w:i/>
      <w:iCs/>
    </w:rPr>
  </w:style>
  <w:style w:type="paragraph" w:customStyle="1" w:styleId="Figure">
    <w:name w:val="Figure"/>
    <w:basedOn w:val="Normal"/>
    <w:link w:val="FigureChar"/>
    <w:qFormat/>
    <w:rsid w:val="008D0EFE"/>
    <w:pPr>
      <w:widowControl w:val="0"/>
      <w:autoSpaceDE w:val="0"/>
      <w:autoSpaceDN w:val="0"/>
      <w:adjustRightInd w:val="0"/>
      <w:spacing w:after="200" w:line="240" w:lineRule="auto"/>
      <w:jc w:val="both"/>
    </w:pPr>
    <w:rPr>
      <w:rFonts w:eastAsiaTheme="minorEastAsia"/>
      <w:b/>
      <w:kern w:val="0"/>
      <w:sz w:val="21"/>
      <w:szCs w:val="21"/>
      <w14:ligatures w14:val="none"/>
    </w:rPr>
  </w:style>
  <w:style w:type="character" w:customStyle="1" w:styleId="FigureChar">
    <w:name w:val="Figure Char"/>
    <w:basedOn w:val="DefaultParagraphFont"/>
    <w:link w:val="Figure"/>
    <w:rsid w:val="008D0EFE"/>
    <w:rPr>
      <w:rFonts w:eastAsiaTheme="minorEastAsia"/>
      <w:b/>
      <w:noProof/>
      <w:kern w:val="0"/>
      <w:sz w:val="21"/>
      <w:szCs w:val="21"/>
      <w14:ligatures w14:val="none"/>
    </w:rPr>
  </w:style>
  <w:style w:type="paragraph" w:styleId="ListParagraph">
    <w:name w:val="List Paragraph"/>
    <w:basedOn w:val="Normal"/>
    <w:uiPriority w:val="34"/>
    <w:qFormat/>
    <w:rsid w:val="008D0EFE"/>
    <w:pPr>
      <w:ind w:left="720"/>
      <w:contextualSpacing/>
    </w:pPr>
  </w:style>
  <w:style w:type="character" w:styleId="CommentReference">
    <w:name w:val="annotation reference"/>
    <w:basedOn w:val="DefaultParagraphFont"/>
    <w:uiPriority w:val="99"/>
    <w:semiHidden/>
    <w:unhideWhenUsed/>
    <w:rsid w:val="00966DAE"/>
    <w:rPr>
      <w:sz w:val="16"/>
      <w:szCs w:val="16"/>
    </w:rPr>
  </w:style>
  <w:style w:type="paragraph" w:styleId="CommentText">
    <w:name w:val="annotation text"/>
    <w:basedOn w:val="Normal"/>
    <w:link w:val="CommentTextChar"/>
    <w:uiPriority w:val="99"/>
    <w:unhideWhenUsed/>
    <w:rsid w:val="00966DAE"/>
    <w:pPr>
      <w:spacing w:line="240" w:lineRule="auto"/>
    </w:pPr>
    <w:rPr>
      <w:sz w:val="20"/>
      <w:szCs w:val="20"/>
    </w:rPr>
  </w:style>
  <w:style w:type="character" w:customStyle="1" w:styleId="CommentTextChar">
    <w:name w:val="Comment Text Char"/>
    <w:basedOn w:val="DefaultParagraphFont"/>
    <w:link w:val="CommentText"/>
    <w:uiPriority w:val="99"/>
    <w:rsid w:val="00966DAE"/>
    <w:rPr>
      <w:noProof/>
      <w:sz w:val="20"/>
      <w:szCs w:val="20"/>
    </w:rPr>
  </w:style>
  <w:style w:type="paragraph" w:styleId="CommentSubject">
    <w:name w:val="annotation subject"/>
    <w:basedOn w:val="CommentText"/>
    <w:next w:val="CommentText"/>
    <w:link w:val="CommentSubjectChar"/>
    <w:uiPriority w:val="99"/>
    <w:semiHidden/>
    <w:unhideWhenUsed/>
    <w:rsid w:val="00966DAE"/>
    <w:rPr>
      <w:b/>
      <w:bCs/>
    </w:rPr>
  </w:style>
  <w:style w:type="character" w:customStyle="1" w:styleId="CommentSubjectChar">
    <w:name w:val="Comment Subject Char"/>
    <w:basedOn w:val="CommentTextChar"/>
    <w:link w:val="CommentSubject"/>
    <w:uiPriority w:val="99"/>
    <w:semiHidden/>
    <w:rsid w:val="00966DAE"/>
    <w:rPr>
      <w:b/>
      <w:bCs/>
      <w:noProof/>
      <w:sz w:val="20"/>
      <w:szCs w:val="20"/>
    </w:rPr>
  </w:style>
  <w:style w:type="paragraph" w:styleId="Revision">
    <w:name w:val="Revision"/>
    <w:hidden/>
    <w:uiPriority w:val="99"/>
    <w:semiHidden/>
    <w:rsid w:val="000B2C72"/>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8782</Words>
  <Characters>50063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Shepperd</dc:creator>
  <cp:keywords/>
  <dc:description/>
  <cp:lastModifiedBy>Sophie Dorman</cp:lastModifiedBy>
  <cp:revision>2</cp:revision>
  <dcterms:created xsi:type="dcterms:W3CDTF">2023-11-24T09:44:00Z</dcterms:created>
  <dcterms:modified xsi:type="dcterms:W3CDTF">2023-11-24T09:44:00Z</dcterms:modified>
</cp:coreProperties>
</file>